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397" w:type="dxa"/>
          <w:right w:w="108" w:type="dxa"/>
        </w:tblCellMar>
        <w:tblLook w:firstRow="0" w:noVBand="0" w:lastRow="0" w:firstColumn="0" w:lastColumn="0" w:noHBand="0" w:val="0000"/>
      </w:tblPr>
      <w:tblGrid>
        <w:gridCol w:w="7053"/>
        <w:gridCol w:w="2693"/>
      </w:tblGrid>
      <w:tr>
        <w:trPr>
          <w:trHeight w:val="95" w:hRule="atLeast"/>
        </w:trPr>
        <w:tc>
          <w:tcPr>
            <w:tcW w:w="7053" w:type="dxa"/>
            <w:tcBorders/>
          </w:tcPr>
          <w:p>
            <w:pPr>
              <w:pStyle w:val="Normal"/>
              <w:widowControl w:val="false"/>
              <w:ind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06 июня 2022 г.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ind w:hanging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 </w:t>
            </w:r>
            <w:r>
              <w:rPr>
                <w:color w:val="000000"/>
                <w:szCs w:val="28"/>
              </w:rPr>
              <w:t>443</w:t>
            </w:r>
          </w:p>
        </w:tc>
      </w:tr>
    </w:tbl>
    <w:p>
      <w:pPr>
        <w:pStyle w:val="Normal"/>
        <w:spacing w:before="0" w:after="480"/>
        <w:ind w:right="4394" w:hanging="0"/>
        <w:rPr>
          <w:b/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03 марта 2021 г. № 123 "</w:t>
      </w:r>
      <w:r>
        <w:rPr>
          <w:b/>
          <w:color w:val="000000"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</w:p>
    <w:p>
      <w:pPr>
        <w:pStyle w:val="Normal"/>
        <w:rPr>
          <w:color w:val="000000"/>
          <w:spacing w:val="40"/>
          <w:szCs w:val="28"/>
        </w:rPr>
      </w:pPr>
      <w:r>
        <w:rPr>
          <w:color w:val="000000"/>
          <w:spacing w:val="40"/>
          <w:szCs w:val="28"/>
        </w:rPr>
        <w:t>Постановляю:</w:t>
      </w:r>
    </w:p>
    <w:p>
      <w:pPr>
        <w:pStyle w:val="Normal"/>
        <w:numPr>
          <w:ilvl w:val="0"/>
          <w:numId w:val="2"/>
        </w:numPr>
        <w:tabs>
          <w:tab w:val="clear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Внести в постановление администрации Старополтавского муниципального района Волгоградской области </w:t>
      </w:r>
      <w:r>
        <w:rPr>
          <w:bCs/>
          <w:color w:val="000000"/>
          <w:szCs w:val="28"/>
        </w:rPr>
        <w:t xml:space="preserve">от 03.03.2021 № 123 </w:t>
      </w:r>
      <w:r>
        <w:rPr>
          <w:color w:val="000000"/>
          <w:szCs w:val="28"/>
        </w:rPr>
        <w:t>"</w:t>
      </w:r>
      <w:r>
        <w:rPr>
          <w:bCs/>
          <w:color w:val="000000"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  <w:r>
        <w:rPr>
          <w:color w:val="000000"/>
          <w:szCs w:val="28"/>
        </w:rPr>
        <w:t xml:space="preserve"> следующие изменения:</w:t>
      </w:r>
    </w:p>
    <w:p>
      <w:pPr>
        <w:pStyle w:val="ListParagraph"/>
        <w:numPr>
          <w:ilvl w:val="0"/>
          <w:numId w:val="6"/>
        </w:numPr>
        <w:tabs>
          <w:tab w:val="clear" w:pos="709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муниципальную программу </w:t>
      </w:r>
      <w:r>
        <w:rPr>
          <w:bCs/>
          <w:color w:val="000000"/>
          <w:szCs w:val="28"/>
        </w:rPr>
        <w:t>"Повышение качества предоставления услуг населению в сфере водоснабжения Старополтавского муниципального района" на 2021-2023 годы"</w:t>
      </w:r>
      <w:r>
        <w:rPr>
          <w:color w:val="000000"/>
          <w:szCs w:val="28"/>
        </w:rPr>
        <w:t>, утвержденную названным постановлением, изложить в новой редакции согласно приложению.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силу со дня его подписания, подлежит опубликованию в сетевом издании "Ударник.</w:t>
      </w:r>
      <w:r>
        <w:rPr>
          <w:color w:val="000000"/>
          <w:szCs w:val="28"/>
          <w:lang w:val="en-US"/>
        </w:rPr>
        <w:t>ru</w:t>
      </w:r>
      <w:r>
        <w:rPr>
          <w:color w:val="000000"/>
          <w:szCs w:val="28"/>
        </w:rPr>
        <w:t>", размещению на официальном сайте администрации Старополтавского муниципального района.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настоящего постановления возложить на начальника отдела по строительству и жилищно-коммунальному хозяйству администрации Старополтавского муниципального района В.В. Степанова.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7"/>
        <w:gridCol w:w="2409"/>
      </w:tblGrid>
      <w:tr>
        <w:trPr/>
        <w:tc>
          <w:tcPr>
            <w:tcW w:w="7337" w:type="dxa"/>
            <w:tcBorders/>
          </w:tcPr>
          <w:p>
            <w:pPr>
              <w:pStyle w:val="Normal"/>
              <w:widowControl w:val="false"/>
              <w:spacing w:before="720" w:after="0"/>
              <w:ind w:hanging="0"/>
              <w:jc w:val="left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Глава Старополтавского </w:t>
              <w:br/>
              <w:t>муниципального района</w:t>
            </w:r>
          </w:p>
        </w:tc>
        <w:tc>
          <w:tcPr>
            <w:tcW w:w="2409" w:type="dxa"/>
            <w:tcBorders/>
            <w:vAlign w:val="bottom"/>
          </w:tcPr>
          <w:p>
            <w:pPr>
              <w:pStyle w:val="Normal"/>
              <w:widowControl w:val="false"/>
              <w:spacing w:before="600" w:after="0"/>
              <w:ind w:hanging="0"/>
              <w:jc w:val="right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А.С. Мелкумов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8" w:right="851" w:gutter="0" w:header="709" w:top="1134" w:footer="0" w:bottom="1134"/>
          <w:pgNumType w:start="1" w:fmt="decimal"/>
          <w:formProt w:val="false"/>
          <w:textDirection w:val="lrTb"/>
          <w:docGrid w:type="default" w:linePitch="381" w:charSpace="0"/>
        </w:sectPr>
      </w:pPr>
      <w:r>
        <w:br w:type="page"/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Старополтавского муниципального района Волгоградской области 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06 июня 2022 года № 443</w:t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"УТВЕРЖДЕНА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 марта 2021 года № 123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МУНИЦИПАЛЬНАЯ ПРОГРАММА </w:t>
        <w:br/>
        <w:t>"Повышение качества предоставления услуг населению в сфере водоснабжения Старополтавского муниципального района" на 2021-2023 годы"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</w:t>
        <w:br/>
        <w:t>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7086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водоснабжение населенных пунктов Старополтавского муниципального района. Увеличение технической мощности МП "Водоканал"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  <w:tab/>
              <w:t>Количество приобретенной специализированной техники для подвоза воды – 1 ед.</w:t>
            </w:r>
          </w:p>
          <w:p>
            <w:pPr>
              <w:pStyle w:val="Normal"/>
              <w:widowControl w:val="false"/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  <w:tab/>
              <w:t>Количество установленного оборудования для доочистки воды – 10 ед.</w:t>
            </w:r>
          </w:p>
          <w:p>
            <w:pPr>
              <w:pStyle w:val="Normal"/>
              <w:widowControl w:val="false"/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  <w:tab/>
              <w:t xml:space="preserve">Количество приобретенной </w:t>
            </w:r>
            <w:r>
              <w:rPr>
                <w:color w:val="000000"/>
                <w:sz w:val="24"/>
                <w:szCs w:val="24"/>
              </w:rPr>
              <w:t>специализированной техники и навесных установок для выполнения работ по водообеспечению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– 4 ед.</w:t>
            </w:r>
          </w:p>
          <w:p>
            <w:pPr>
              <w:pStyle w:val="Normal"/>
              <w:widowControl w:val="false"/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  <w:tab/>
              <w:t>Количество полученных лицензий на пользование недрами – 6 ед.</w:t>
            </w:r>
          </w:p>
          <w:p>
            <w:pPr>
              <w:pStyle w:val="Normal"/>
              <w:widowControl w:val="false"/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  <w:tab/>
              <w:t>Количество проектов на геологическое изучение в целях поисков и оценки подземных вод на участке недр -1 ед.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 годы, в 1 этап.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71125,53 </w:t>
            </w:r>
            <w:r>
              <w:rPr>
                <w:color w:val="000000"/>
                <w:sz w:val="24"/>
                <w:szCs w:val="24"/>
              </w:rPr>
              <w:t>тыс. рублей. Из них: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федерального бюджета – 31564,50 тыс. рублей, в том числе в разбивке по годам: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0,00 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0,00 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31564,50 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Волгоградской области – 20929,05 тыс. рублей, в том числе в разбивке по годам: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8533,65 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11880,00 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515,40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районного бюджета -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17131,98 </w:t>
            </w:r>
            <w:r>
              <w:rPr>
                <w:color w:val="000000"/>
                <w:sz w:val="24"/>
                <w:szCs w:val="24"/>
              </w:rPr>
              <w:t>тыс. рублей, в том числе в разбивке по годам: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10407,23 </w:t>
            </w:r>
            <w:r>
              <w:rPr>
                <w:color w:val="000000"/>
                <w:sz w:val="24"/>
                <w:szCs w:val="24"/>
              </w:rPr>
              <w:t>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6595,95 </w:t>
            </w:r>
            <w:r>
              <w:rPr>
                <w:color w:val="000000"/>
                <w:sz w:val="24"/>
                <w:szCs w:val="24"/>
              </w:rPr>
              <w:t>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128,80 </w:t>
            </w:r>
            <w:r>
              <w:rPr>
                <w:color w:val="000000"/>
                <w:sz w:val="24"/>
                <w:szCs w:val="24"/>
              </w:rPr>
              <w:t>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внебюджетных источников – 1500,00 тыс. руб., в том числе по годам: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0,00 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1500,00 тыс. рублей.</w:t>
            </w:r>
          </w:p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0,00 тыс. рублей.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ремонта скважин и водопроводных сетей, улучшение качества воды за счет приобретения и установки водоочистительного оборудования.</w:t>
            </w:r>
          </w:p>
        </w:tc>
      </w:tr>
    </w:tbl>
    <w:p>
      <w:pPr>
        <w:pStyle w:val="Normal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сферы реализации муниципальной программы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 водоснабжения Старополтавского района состоит из водозаборных сооружений, водонапорных башен и трубопроводной системы, которая имеет общую протяженность 212,8 км и требует особого внимания. Трубопроводная система состоит из трубопроводов диаметром от 50 до 300 мм и выполнена из различных материалов – асбестоцемент, чугун, железо, полиэтилен. Трубопроводные системы из асбестоцемента, чугуна, железа эксплуатируются более 50 лет, что негативно сказывается на техническом состоянии и как следствие на качестве предоставления услуг населению.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населенных пунктов сельских поселений Старополтавского муниципального района используют подземные источники водоснабжения в качестве основного источника. Данные источники содержат воды с не самым лучшим химическим составом. В рамках реализации данной программы запланирована установка в населенных пунктах локальных водоочистительных установок. . Для решения данной проблемы принято решение приобрести и установить оборудование для доочистки воды в следующих населённых пунктах: с. Беляевка, п. Первомайский, с. Колышкино, с. Курнаевка, с. Новая Полтавка, х. Новый Тихонов, с. Кано, с. Верхний Еруслан, с. Иловатка, х. Шпаки, закупить дополнительное оборудование для очистного сооружения питьевой воды для с. Валуевка.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районном центре села Старая Полтавка существует проблемы перебоев в осуществлении водоснабжения населения села, водозабор в связи с эксплуатацией металлических сетей более 30 лет без капитального ремонта, их износ превышает 95%. Необходимо проведение реконструкции системы водоснабжения села Старая Полтавка.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со строительством индивидуальных жилых домов, частного жилого сектора села Старая Полтавка, появилась необходимость в устройстве новых линий системы водоснабжения домовладений на перспективу дальнейшего строительства. 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Гмелинском сельском поселении отсутствует источники воды в необходимом для полного водообеспечения населения количестве. Для решения указанной проблемы необходимо приобрести для данного сельского поселения специализированную технику для подвоза воды из иных источников. Так же в Торгунском сельском поселении необходим произвести ремонт водозаборной скважины, ремонт системы водоснабжения на улицах Набережная, Школьная ( замена 80 метров трубопровода), ремонт водопроводной сети на улицах Молодежная, Центральная, Лесная, Республиканская, Степная, замену насоса на скважине, обвязку резервной водозаборной скважины. В Верхневодянском сельском поселении необходимо провести ремонт системы водоснабжения.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Из-за установившейся высокой температуры наружного воздуха и выросшей, в связи с этим, нагрузки на водозаборные скважины в Харьковском сельском поселение вышла из строя водозаборная скважина и требует ремонта в кратчайшие сроки.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Новотихановском сельском поселении произошли порывы водопроводной системы и также требуют ремонта. 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активной эксплуатацией выработавших свой технический ресурс водопроводных сетях, происходят частые порывы в различные времена года. Для устранения порывов на водопроводных сетях требуется спецтехника.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в машинно-тракторном парке муниципального предприятия "Водоканал" имеется в наличии два экскаватора, которые выработали предусмотренный заводом изготовителем технический ресурс, в связи с чем, происходят частые поломки и как следствие, производятся внеплановые ремонты и техническое обслуживание данной спецтехники.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двух экскаваторов (требующих постоянного ремонта и обслуживания) в МП "Водоканал", осуществляющего полномочия муниципального района по водоснабжению населения в нескольких сельских поселениях, приводит к ненадлежащему исполнению вышеуказанных полномочий органом местного самоуправления муниципального района при возникновении аварийных ситуаций на различных участках водопроводной сети, тем более, в разных населенных пунктах одновременно. 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отсутствие возможности по оперативному устранению возникших аварий на участках водопроводных сетей одновременно, препятствует надлежащему исполнению вопросов местного значения муниципального района по водоснабжению населения. В связи с вышесказанным существует необходимость в приобретении еще одного экскаватора, манипулятора (для оперативной переброски и подвоза необходимых материалов) и бурильной установки (необходимой для ремонта подземных скважин).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Цели, задачи, сроки и этапы реализации муниципальной программы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муниципальной программы – повышение качества предоставления услуг населению в сфере водоснабжения.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Задачей муниципальной программы является: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улучшение водоснабжения населенных пунктов Старополтавского муниципального района.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технической мощности МП "Водоканал".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 программа реализуется в 2021-2023 гг. в один этап.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Целевые показатели достижения целей и решения задач, </w:t>
        <w:br/>
        <w:t>ожидаемые конечные результаты реализации муниципальной программы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Целевыми показателями муниципальной программы являются:</w:t>
      </w:r>
    </w:p>
    <w:p>
      <w:pPr>
        <w:pStyle w:val="ListParagraph"/>
        <w:numPr>
          <w:ilvl w:val="0"/>
          <w:numId w:val="5"/>
        </w:numPr>
        <w:tabs>
          <w:tab w:val="clear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приобретенной специализированной техники для подвоза воды – 1 ед.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Количество установленного оборудования для доочистки воды – 10 ед.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Количество приобретенной </w:t>
      </w:r>
      <w:r>
        <w:rPr>
          <w:color w:val="000000"/>
          <w:sz w:val="24"/>
          <w:szCs w:val="24"/>
        </w:rPr>
        <w:t>специализированной техники и навесных установок для выполнения работ по водообеспечению</w:t>
      </w:r>
      <w:r>
        <w:rPr>
          <w:color w:val="000000"/>
          <w:sz w:val="24"/>
          <w:szCs w:val="24"/>
          <w:lang w:eastAsia="ru-RU"/>
        </w:rPr>
        <w:t xml:space="preserve"> – 4 ед.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Количество полученных лицензий на пользование недрами – 6 ед.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Количество проектов на геологическое изучение в целях поисков и оценки подземных вод на участке недр -1 ед.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целевых показателей представлен в Приложении 1.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Ожидаемыми результатами реализации муниципальной программы является 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ремонта скважин и водопроводных сетей, улучшение качества воды за счет приобретения и установки водоочистительного оборудования.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Обобщенная характеристика основных мероприятий муниципальной программы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мероприятиями программы являются: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Приобретение и монтаж оборудования для доочистки воды: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</w:tabs>
        <w:ind w:left="70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2021 году в с. Беляевка, п. Первомайский, с. Колышкино, с. Курнаевка, с. Новая Полтавка, х. Новый Тихонов, с. Кано, с. Верхний Еруслан, х. Шпаки с. Иловатка;</w:t>
      </w:r>
    </w:p>
    <w:p>
      <w:pPr>
        <w:pStyle w:val="ListParagraph"/>
        <w:widowControl w:val="false"/>
        <w:ind w:left="70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данного мероприятия предполагается выделение межбюджетного трансферта администрациям сельских поселений Старополтавского муниципального района, а так же субсидии МП "Водоканал" для приобретения оборудования для доочистки воды.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Приобретение специализированной техники для подвоза воды: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</w:tabs>
        <w:ind w:left="70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2021 году для подвоза воды в Гмелинском сельском поселении;</w:t>
      </w:r>
    </w:p>
    <w:p>
      <w:pPr>
        <w:pStyle w:val="ListParagraph"/>
        <w:widowControl w:val="false"/>
        <w:ind w:left="426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мероприятия предполагается проведение конкурсных процедур администрацией Старополтавского муниципального района, в целях определения организации для поставки специализированной техники.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Приобретение специализированной техники и навесных установок для выполнения работ по водообеспечению. В рамках данного мероприятия предполагается выделение субсидии МП "Водоканал" для приобретения специализированной техники и навесных установок.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Получение лицензии на пользование недрами в населенных пунктах: </w:t>
      </w:r>
    </w:p>
    <w:p>
      <w:pPr>
        <w:pStyle w:val="Normal"/>
        <w:widowControl w:val="false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2022 году в с. Иловатка, с. Белокаменка, с. Курнаевка, с.Колышкино, с.Харьковка, с. Гмелинка.</w:t>
      </w:r>
    </w:p>
    <w:p>
      <w:pPr>
        <w:pStyle w:val="Normal"/>
        <w:widowControl w:val="false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мероприятия предполагается выделение субсидии МП "Водоканал" для приобретения лицензий.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работ по проектированию реконструкции система водоснабжения с. Старая Полтавка. В рамках данного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разработку проекта реконструкции системы водоснабжения с. Старая Полтавка.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работ по разработке проекта на геологическое изучение в целях поисков и оценки подземных вод на участке недр. В рамках данного мероприятия предполагается выделение субсидии МП "Водоканал" для заключения договора на подготовку проекта.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договора на осуществление технологического подключения к электрическим сетям проектируемой группы скважин и системы водоподготовки проекта реконструкции система водоснабжения с. Старая Полтавка. В рамках мероприятия предполагается выделение денежных средств администрации Старополтавского муниципального района для оплаты технологического присоединения сетевой организации.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Реконструкция системы водоснабжения с. Старая Полтавка.</w:t>
      </w:r>
    </w:p>
    <w:p>
      <w:pPr>
        <w:pStyle w:val="ListParagraph"/>
        <w:widowControl w:val="false"/>
        <w:ind w:left="426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выполнение реконструкции системы водоснабжения.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Ремонт водопроводных сетей в Новотихановском сельском поселении. В рамках данного мероприятия предполагается выделение межбюджетного трансферта администрации Новотихановского сельского поселения Старополтавского муниципального района.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Ремонт водозаборной скважины в с. Харьковка. В рамках данного мероприятия предполагается выделение межбюджетного трансферта администрации Харьковского сельского поселения Старополтавского муниципального района.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Ремонт водозаборной скважины, водопроводных сетей, приобретение оборудования для водозаборной скважины, обвязка резервной водозаборной скважины в Торгунском сельском поселении, ремонт водопроводной сети по улицам: Молодежная, Центральная, Лесная, Школьная, Республиканская, Степная, Целинная, Октябрьская, Набережная. В рамках данных мероприятий предполагается выделение межбюджетного трансферта администрации Торгунского сельского поселения, замена труб на отдельных участках между улицей Первомайской и ул. Лесная 300 м. , по ул. Степная 400 м. водопроводной сети п. Торгун 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Ремонт системы водоснабжения на территории Верхневодянского сельского поселения. В рамках данных мероприятий предполагается выделение межбюджетного трансферта администрации Верхневодянского сельского поселения.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Покупка дополнительного оборудования для очистного сооружения в с. Валуевка.</w:t>
      </w:r>
    </w:p>
    <w:p>
      <w:pPr>
        <w:pStyle w:val="Normal"/>
        <w:widowControl w:val="false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данных мероприятий предполагается выделение межбюджетного трансферта администрации Валуевского сельского поселения.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Мониторинг технической эффективности водопроводных сетей сельских поселений Старополтавского муниципального района.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</w:tabs>
        <w:ind w:left="42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потребности в установке новых линий системы водоснабжения с. Старая Полтавка.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мероприятий приведен в приложении 2.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Обоснование объема финансовых ресурсов, </w:t>
        <w:br/>
        <w:t>необходимых для реализации муниципальной программы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Общий объем финансирования муниципальной программы составит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71125,53 тыс. рублей. Из них: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 федерального бюджета – 31564,50 тыс. рублей, в том числе в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разбивке по годам: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 год – 0,00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 год – 0,00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 год – 31564,50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 бюджета Волгоградской области – 20929,05 тыс. рублей,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 числе в разбивке по годам: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 год – 8533,65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 год – 11880,00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 год – 515,40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районного бюджета – 17131,98 тыс. рублей, в том числе в разбивке по годам: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 год – 10407,23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 год – 6595,95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 год – 128,80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внебюджетных источников – 1500,00 тыс. руб., в том числе по годам: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 год – 0,00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 год – 1500,00 тыс. рублей.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2023 год – 0,00 тыс. рублей.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Ресурсное обеспечение муниципальной программы представлено в Приложении 3 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Механизмы реализации муниципальной программы</w:t>
      </w:r>
    </w:p>
    <w:p>
      <w:pPr>
        <w:pStyle w:val="Normal"/>
        <w:widowControl w:val="false"/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муниципальной программы будет производиться путем предоставления межбюджетных трансфертов сельским поселениям и субсидий муниципальному предприятию "Водоканал" на проведение конкурсных процедур, в целях определения организаций: на поставку и монтаж оборудования для доочистки воды в с. Беляевка, п. Первомайский, с. Колышкино, с. Курнаевка, с. Новая Полтавка, х. Новый Тихонов, с. Кано, с. Верхний Еруслан, х. Шпаки, с. Иловатка,. Администрацией Старополтавского муниципального района будут проводится конкурсные процедуры по определению поставщика специализированной техники для подвоза воды в Гмелинское сельское поселение, и подрядной организации на проектирование и выполнение строительно-монтажных работ по реконструкции системы водоснабжения с. Старая Полтавка. Муниципальному предприятию "Водоканал" будут предоставлена субсидия на приобретение специализированной техники и навесной установки для выполнения работ по водообеспечению. Администрациями Новотихановского, Харьковского и Торгунского сельских поселений будут заключаться договора на ремонты водозаборных скважин, систем водоснабжения и закупку оборудования для скважин, после получения межбюджетных трансфертов от администрации Старополтавского муниципального района. Муниципальному предприятию "Водоканал" будут предоставлена субсидия на заключение договоров по лицензированию и подготовку проекта на геологическое изучение в целях поисков и оценки подземных вод на участке недр. Администрации Старополтавского муниципального района будут выделены денежные средства на оплату договора на осуществление технологического подключение к электрическим сетям системы водоподготовки системы водоснабжения с. Старая Полтавка.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09"/>
        </w:tabs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программы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муниципальной программы планируется приобретение специализированной техники для подвоза воды</w:t>
      </w:r>
      <w:r>
        <w:rPr>
          <w:rFonts w:eastAsia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>в количестве – 1 шт., 10 шт. установок доочистки воды и 4 шт. единиц специализированной техники и навесных установок для выполнения работ по водообеспечению.</w:t>
      </w:r>
    </w:p>
    <w:p>
      <w:p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Приобретённая специализированная техника будет являться собственностью администрации Старополтавского муниципального района Волгоградской области.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1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Приобретенное оборудование для доочистки воды и будет являться собственностью Беляевского, Гмелинского, Колышкинского, Курнаевского, Новополтавского, Новотихоновского, Иловатского сельских поселений Старополтавского муниципального района Волгоградской области и администрации Старополтавского муниципального района Волгоградской области.</w:t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ПЕРЕЧЕНЬ </w:t>
        <w:br/>
        <w:t>целевых показателей муниципальной программы Старополтавского муниципального района</w:t>
      </w:r>
    </w:p>
    <w:p>
      <w:pPr>
        <w:pStyle w:val="Normal"/>
        <w:ind w:hanging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tbl>
      <w:tblPr>
        <w:tblW w:w="147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"/>
        <w:gridCol w:w="4959"/>
        <w:gridCol w:w="1560"/>
        <w:gridCol w:w="1700"/>
        <w:gridCol w:w="1703"/>
        <w:gridCol w:w="1981"/>
        <w:gridCol w:w="2126"/>
      </w:tblGrid>
      <w:tr>
        <w:trPr/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Базовый год (отчетный)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color w:val="000000"/>
                <w:sz w:val="24"/>
                <w:szCs w:val="24"/>
              </w:rPr>
              <w:t xml:space="preserve"> Повышение качества предоставления услуг населению в сфере водоснабжения Старополтавского муниципального района" на 2021-2023 годы"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Цель 1: </w:t>
            </w:r>
            <w:r>
              <w:rPr>
                <w:color w:val="000000"/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 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Улучшение водоснабжения населенных пунктов Старополтавского муниципального района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1: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Количество приобретенной специализированной техники для подвоза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2: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установленного оборудования для доочистки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3: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Количество полученных лицензий на пользование недрами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4: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Количество проектов на геологическое изучение в целях поисков и оценки подземных вод на участке недр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 2: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Увеличение технической мощности МП "Водоканал"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Целевой показатель 1: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Количество приобретенной специализированной техники и навесных установок для выполнения работ по водообеспечению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sectPr>
          <w:headerReference w:type="default" r:id="rId5"/>
          <w:headerReference w:type="first" r:id="rId6"/>
          <w:type w:val="nextPage"/>
          <w:pgSz w:orient="landscape" w:w="16838" w:h="11906"/>
          <w:pgMar w:left="1134" w:right="1134" w:gutter="0" w:header="709" w:top="1418" w:footer="0" w:bottom="851"/>
          <w:pgNumType w:start="1" w:fmt="decimal"/>
          <w:formProt w:val="false"/>
          <w:titlePg/>
          <w:textDirection w:val="lrTb"/>
          <w:docGrid w:type="default" w:linePitch="381" w:charSpace="0"/>
        </w:sectPr>
      </w:pP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ПЕРЕЧЕНЬ </w:t>
        <w:br/>
        <w:t>мероприятий муниципальной программы Старополтавского муниципального района</w:t>
      </w:r>
    </w:p>
    <w:p>
      <w:pPr>
        <w:pStyle w:val="Normal"/>
        <w:ind w:hanging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tbl>
      <w:tblPr>
        <w:tblW w:w="14709" w:type="dxa"/>
        <w:jc w:val="left"/>
        <w:tblInd w:w="-51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676"/>
        <w:gridCol w:w="2076"/>
        <w:gridCol w:w="2407"/>
        <w:gridCol w:w="852"/>
        <w:gridCol w:w="1134"/>
        <w:gridCol w:w="1134"/>
        <w:gridCol w:w="1133"/>
        <w:gridCol w:w="1134"/>
        <w:gridCol w:w="1134"/>
        <w:gridCol w:w="902"/>
        <w:gridCol w:w="2125"/>
      </w:tblGrid>
      <w:tr>
        <w:trPr>
          <w:tblHeader w:val="true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>
        <w:trPr>
          <w:tblHeader w:val="true"/>
        </w:trPr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blHeader w:val="true"/>
        </w:trPr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</w:t>
              <w:softHyphen/>
              <w:t>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</w:t>
              <w:softHyphen/>
              <w:t>ные источники</w:t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7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color w:val="000000"/>
                <w:sz w:val="24"/>
                <w:szCs w:val="24"/>
              </w:rPr>
              <w:t xml:space="preserve"> 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и монтаж оборудования для доочистки воды </w:t>
            </w:r>
            <w:r>
              <w:rPr>
                <w:color w:val="000000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района;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монтаж оборудования для доочистки воды в с. Беляевка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монтаж оборудования для доочистки воды в п. Первомайский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монтаж оборудования для доочистки воды в с. Колышкино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монтаж оборудования для доочистки воды в с. Курнаевка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монтаж оборудования для доочистки воды в с. Новая Полтавка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монтаж оборудования для доочистки воды в х. Новый Тиханов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монтаж оборудования для доочистки воды в с. Кано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монтаж оборудования для доочистки воды в с. Верхний Еруслан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монтаж оборудования для доочистки воды в х. Шпаки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монтаж оборудования для доочистки воды в с.Иловатка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работ, связанных с установкой оборудования для доочистки воды в с. Валуевка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 для подвоза воды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 для подвоза воды (для Гмелинского сельского поселения)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 и навесных установок для выполнения работ по водообеспечению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 и навесных установок для выполнения работ по водообеспечению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 и навесных установок для выполнения работ по водообеспечению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Выполнение работ по проектированию реконструкции система водоснабжения с. Старая Полтавка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 системы водоснабжения с. Старая Полтавка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31564,50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31564,50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Ремонт водопроводной системы в х. Новый Тиханов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Ремонт водозаборной скважины в с. Харьковка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Ремонт водопроводных сетей, обвязка резервной водозаборной скважины с установкой водяного насоса в Торгунском сельском поселении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ремонт водозаборной скважины в Торгунском сельском поселении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Водопроводной сети в Торгунском сельском поселении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системы водоснабжения в Верхневодянском сельском поселении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Покупка дополнительного оборудования для очистного сооружения Валуевского сельского поселения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Замена труб на отдельных участках водопроводной сети п. Торгун между ул. Мервомайская и ул. Лесная (300 м.), по ул. Степная (400 Итого по мероприятию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трубопровода централизованного водоснабжения п. Торгун по улицам: Целинная, Лесная, Школьная, Молодежная, Октябрьская, Набережная.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глубинного насоса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водозаборной скважины в с. Верхняя Водянка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Получение лицензии на пользование недрами в с. Иловатка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лицензии на пользование недрами в с. Белокаменка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Получение лицензии на пользование недрами в с. Курнаевка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Получение лицензии на пользование недрами в с. Колышкино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лицензии на пользование недрами в с. Харьковка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Получение лицензии на пользование недрами в с. Гмелинка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по разработке проекта на геологическое изучение в целях поисков и оценки подземных вод на участке недр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договора на осуществление технологического подключения к электрическим сетям проектируемой группы скважин и системы водоподготовки проекта реконструкции система водоснабжения с. Старая Полтавка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технической эффективности водопроводных сетей сельских поселений Старополтавского муниципального района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потребности в установке новых линий системы водоснабжения с. Старая Полтавка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71125,53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20929,05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17131,98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18940,88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19975,95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6595,95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headerReference w:type="default" r:id="rId7"/>
          <w:headerReference w:type="first" r:id="rId8"/>
          <w:type w:val="nextPage"/>
          <w:pgSz w:orient="landscape" w:w="16838" w:h="11906"/>
          <w:pgMar w:left="1134" w:right="1134" w:gutter="0" w:header="709" w:top="1418" w:footer="0" w:bottom="851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639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РЕСУРСНОЕ ОБЕСПЕЧЕНИЕ </w:t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>
      <w:pPr>
        <w:pStyle w:val="Normal"/>
        <w:ind w:hanging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tbl>
      <w:tblPr>
        <w:tblW w:w="15049" w:type="dxa"/>
        <w:jc w:val="left"/>
        <w:tblInd w:w="62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0" w:noVBand="0" w:lastRow="0" w:firstColumn="0" w:lastColumn="0" w:noHBand="0" w:val="0000"/>
      </w:tblPr>
      <w:tblGrid>
        <w:gridCol w:w="2552"/>
        <w:gridCol w:w="1302"/>
        <w:gridCol w:w="2550"/>
        <w:gridCol w:w="1418"/>
        <w:gridCol w:w="1252"/>
        <w:gridCol w:w="1419"/>
        <w:gridCol w:w="1416"/>
        <w:gridCol w:w="1135"/>
        <w:gridCol w:w="1559"/>
        <w:gridCol w:w="444"/>
      </w:tblGrid>
      <w:tr>
        <w:trPr>
          <w:tblHeader w:val="true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blHeader w:val="true"/>
        </w:trPr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blHeader w:val="true"/>
        </w:trPr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7458,10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4655,87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2802,23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11482,78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3877,78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18940,88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8533,65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10407,23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255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990,95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46" w:hRule="atLeast"/>
        </w:trPr>
        <w:tc>
          <w:tcPr>
            <w:tcW w:w="255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18985,00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11880,00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19975,95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11880,00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6595,95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32208,70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32208,70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71125,53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20929,05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17131,98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".</w:t>
            </w:r>
          </w:p>
        </w:tc>
      </w:tr>
    </w:tbl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right" w:pos="14571" w:leader="none"/>
        </w:tabs>
        <w:ind w:hanging="0"/>
        <w:jc w:val="lef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Заместитель главы Старополтавского муниципального района</w:t>
        <w:tab/>
        <w:t xml:space="preserve">Д.В. </w:t>
      </w:r>
      <w:bookmarkStart w:id="0" w:name="_GoBack"/>
      <w:bookmarkEnd w:id="0"/>
      <w:r>
        <w:rPr>
          <w:b/>
          <w:color w:val="000000"/>
          <w:sz w:val="24"/>
          <w:szCs w:val="24"/>
        </w:rPr>
        <w:t>Компанивец</w:t>
      </w:r>
    </w:p>
    <w:p>
      <w:pPr>
        <w:pStyle w:val="Normal"/>
        <w:ind w:hanging="0"/>
        <w:jc w:val="left"/>
        <w:rPr>
          <w:color w:val="000000"/>
          <w:sz w:val="24"/>
          <w:szCs w:val="24"/>
        </w:rPr>
      </w:pPr>
      <w:r>
        <w:rPr/>
      </w:r>
    </w:p>
    <w:sectPr>
      <w:headerReference w:type="default" r:id="rId9"/>
      <w:headerReference w:type="first" r:id="rId10"/>
      <w:type w:val="nextPage"/>
      <w:pgSz w:orient="landscape" w:w="16838" w:h="11906"/>
      <w:pgMar w:left="1134" w:right="1134" w:gutter="0" w:header="709" w:top="1418" w:footer="0" w:bottom="851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jc w:val="center"/>
      <w:rPr>
        <w:sz w:val="20"/>
        <w:szCs w:val="20"/>
      </w:rPr>
    </w:pPr>
    <w:r>
      <w:rPr/>
      <w:drawing>
        <wp:inline distT="0" distB="0" distL="0" distR="0">
          <wp:extent cx="304800" cy="35750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ind w:hanging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Normal"/>
      <w:ind w:hanging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>
    <w:pPr>
      <w:pStyle w:val="Normal"/>
      <w:pBdr>
        <w:bottom w:val="thinThickSmallGap" w:sz="12" w:space="1" w:color="000000"/>
      </w:pBdr>
      <w:ind w:hanging="0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Normal"/>
      <w:spacing w:before="240" w:after="240"/>
      <w:ind w:hanging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08590963"/>
    </w:sdtPr>
    <w:sdtContent>
      <w:p>
        <w:pPr>
          <w:pStyle w:val="Style23"/>
          <w:ind w:hanging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6</w:t>
        </w:r>
        <w:r>
          <w:rPr>
            <w:sz w:val="24"/>
          </w:rPr>
          <w:fldChar w:fldCharType="end"/>
        </w:r>
      </w:p>
      <w:p>
        <w:pPr>
          <w:pStyle w:val="Style23"/>
          <w:tabs>
            <w:tab w:val="clear" w:pos="4677"/>
            <w:tab w:val="clear" w:pos="9355"/>
          </w:tabs>
          <w:ind w:hanging="0"/>
          <w:rPr>
            <w:sz w:val="22"/>
            <w:szCs w:val="24"/>
          </w:rPr>
        </w:pPr>
        <w:r>
          <w:rPr>
            <w:sz w:val="22"/>
            <w:szCs w:val="24"/>
          </w:rPr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>
        <w:sz w:val="24"/>
        <w:szCs w:val="24"/>
      </w:rPr>
    </w:pPr>
    <w:r>
      <w:rPr>
        <w:sz w:val="24"/>
        <w:szCs w:val="24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18352230"/>
    </w:sdtPr>
    <w:sdtContent>
      <w:p>
        <w:pPr>
          <w:pStyle w:val="Style23"/>
          <w:ind w:hanging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2</w:t>
        </w:r>
        <w:r>
          <w:rPr>
            <w:sz w:val="24"/>
          </w:rPr>
          <w:fldChar w:fldCharType="end"/>
        </w:r>
      </w:p>
      <w:p>
        <w:pPr>
          <w:pStyle w:val="Style23"/>
          <w:tabs>
            <w:tab w:val="clear" w:pos="4677"/>
            <w:tab w:val="clear" w:pos="9355"/>
          </w:tabs>
          <w:ind w:hanging="0"/>
          <w:rPr>
            <w:sz w:val="22"/>
            <w:szCs w:val="24"/>
          </w:rPr>
        </w:pPr>
        <w:r>
          <w:rPr>
            <w:sz w:val="22"/>
            <w:szCs w:val="24"/>
          </w:rPr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>
        <w:sz w:val="24"/>
        <w:szCs w:val="24"/>
      </w:rPr>
    </w:pPr>
    <w:r>
      <w:rPr>
        <w:sz w:val="24"/>
        <w:szCs w:val="24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21733528"/>
    </w:sdtPr>
    <w:sdtContent>
      <w:p>
        <w:pPr>
          <w:pStyle w:val="Style23"/>
          <w:ind w:hanging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15</w:t>
        </w:r>
        <w:r>
          <w:rPr>
            <w:sz w:val="24"/>
          </w:rPr>
          <w:fldChar w:fldCharType="end"/>
        </w:r>
      </w:p>
      <w:p>
        <w:pPr>
          <w:pStyle w:val="Style23"/>
          <w:tabs>
            <w:tab w:val="clear" w:pos="4677"/>
            <w:tab w:val="clear" w:pos="9355"/>
          </w:tabs>
          <w:ind w:hanging="0"/>
          <w:rPr>
            <w:sz w:val="22"/>
            <w:szCs w:val="24"/>
          </w:rPr>
        </w:pPr>
        <w:r>
          <w:rPr>
            <w:sz w:val="22"/>
            <w:szCs w:val="24"/>
          </w:rPr>
        </w:r>
      </w:p>
    </w:sdtContent>
  </w:sdt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>
        <w:sz w:val="24"/>
        <w:szCs w:val="24"/>
      </w:rPr>
    </w:pPr>
    <w:r>
      <w:rPr>
        <w:sz w:val="24"/>
        <w:szCs w:val="24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69589743"/>
    </w:sdtPr>
    <w:sdtContent>
      <w:p>
        <w:pPr>
          <w:pStyle w:val="Style23"/>
          <w:ind w:hanging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3</w:t>
        </w:r>
        <w:r>
          <w:rPr>
            <w:sz w:val="24"/>
          </w:rPr>
          <w:fldChar w:fldCharType="end"/>
        </w:r>
      </w:p>
      <w:p>
        <w:pPr>
          <w:pStyle w:val="Style23"/>
          <w:tabs>
            <w:tab w:val="clear" w:pos="4677"/>
            <w:tab w:val="clear" w:pos="9355"/>
          </w:tabs>
          <w:ind w:hanging="0"/>
          <w:rPr>
            <w:sz w:val="22"/>
            <w:szCs w:val="24"/>
          </w:rPr>
        </w:pPr>
        <w:r>
          <w:rPr>
            <w:sz w:val="22"/>
            <w:szCs w:val="24"/>
          </w:rPr>
        </w:r>
      </w:p>
    </w:sdtContent>
  </w:sdt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4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df6"/>
    <w:pPr>
      <w:widowControl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1551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uiPriority w:val="99"/>
    <w:unhideWhenUsed/>
    <w:rsid w:val="005449eb"/>
    <w:rPr>
      <w:color w:val="0000FF"/>
      <w:u w:val="single"/>
    </w:rPr>
  </w:style>
  <w:style w:type="character" w:styleId="Style14" w:customStyle="1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styleId="Style15" w:customStyle="1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styleId="3" w:customStyle="1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PlaceholderText">
    <w:name w:val="Placeholder Text"/>
    <w:uiPriority w:val="99"/>
    <w:semiHidden/>
    <w:qFormat/>
    <w:rsid w:val="00d31002"/>
    <w:rPr>
      <w:color w:val="808080"/>
    </w:rPr>
  </w:style>
  <w:style w:type="character" w:styleId="Style16" w:customStyle="1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1551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 w:customStyle="1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34201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unhideWhenUsed/>
    <w:rsid w:val="0034201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qFormat/>
    <w:rsid w:val="00147f93"/>
    <w:pPr>
      <w:spacing w:before="120" w:after="0"/>
      <w:ind w:hanging="0"/>
    </w:pPr>
    <w:rPr>
      <w:rFonts w:eastAsia="Times New Roman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d3100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4a6"/>
    <w:pPr>
      <w:spacing w:before="0" w:after="0"/>
      <w:ind w:left="720" w:firstLine="709"/>
      <w:contextualSpacing/>
    </w:pPr>
    <w:rPr/>
  </w:style>
  <w:style w:type="paragraph" w:styleId="ConsPlusNormal" w:customStyle="1">
    <w:name w:val="ConsPlusNormal"/>
    <w:qFormat/>
    <w:rsid w:val="0078231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1967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EFF0-FB53-4B6B-8AD9-4146420C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LibreOffice/7.2.2.2$Windows_X86_64 LibreOffice_project/02b2acce88a210515b4a5bb2e46cbfb63fe97d56</Application>
  <AppVersion>15.0000</AppVersion>
  <Pages>27</Pages>
  <Words>5096</Words>
  <Characters>29049</Characters>
  <CharactersWithSpaces>34077</CharactersWithSpaces>
  <Paragraphs>68</Paragraphs>
  <Company>Администрация Старополтавского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2022-06-06T11:33:00Z</dcterms:created>
  <dc:creator>Катруш Надежда Васильевна</dc:creator>
  <dc:description/>
  <dc:language>ru-RU</dc:language>
  <cp:lastModifiedBy>Асташов Алексей Иванович</cp:lastModifiedBy>
  <cp:lastPrinted>2022-06-06T11:25:00Z</cp:lastPrinted>
  <dcterms:modified xsi:type="dcterms:W3CDTF">2022-06-06T12:02:00Z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