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397" w:type="dxa"/>
          <w:right w:w="108" w:type="dxa"/>
        </w:tblCellMar>
        <w:tblLook w:firstRow="0" w:noVBand="0" w:lastRow="0" w:firstColumn="0" w:lastColumn="0" w:noHBand="0" w:val="0000"/>
      </w:tblPr>
      <w:tblGrid>
        <w:gridCol w:w="6945"/>
        <w:gridCol w:w="2693"/>
      </w:tblGrid>
      <w:tr>
        <w:trPr>
          <w:trHeight w:val="95" w:hRule="atLeast"/>
        </w:trPr>
        <w:tc>
          <w:tcPr>
            <w:tcW w:w="6945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 10 октября 2023 г.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№ 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804</w:t>
            </w:r>
          </w:p>
        </w:tc>
      </w:tr>
    </w:tbl>
    <w:p>
      <w:pPr>
        <w:pStyle w:val="Normal"/>
        <w:spacing w:before="0" w:after="480"/>
        <w:ind w:right="4394" w:hanging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Об утверждении муниципальной программы "Повышение безопасности дорожного движения в Старополтавском муниципальном районе Волгоградской области" на 2024-2026 годы</w:t>
      </w:r>
    </w:p>
    <w:p>
      <w:pPr>
        <w:pStyle w:val="Normal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 постановлением администрации Старополтавского муниципального района от 13.09.2013 № 648 "Об утверждении Порядка разработки, реализации и оценки эффективности муниципальных программ Старополтавского муниципального района", </w:t>
      </w:r>
      <w:r>
        <w:rPr>
          <w:rFonts w:eastAsia="Calibri"/>
          <w:color w:val="000000"/>
          <w:spacing w:val="40"/>
          <w:sz w:val="28"/>
          <w:szCs w:val="28"/>
          <w:lang w:eastAsia="en-US"/>
        </w:rPr>
        <w:t>постановляю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>
      <w:pPr>
        <w:pStyle w:val="Normal"/>
        <w:numPr>
          <w:ilvl w:val="0"/>
          <w:numId w:val="6"/>
        </w:numPr>
        <w:ind w:left="426" w:hanging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Утвердить прилагаемую муниципальную программу "Повышение безопасности дорожного движения в Старополтавском муниципальном районе" на 2024-2026 годы".</w:t>
      </w:r>
    </w:p>
    <w:p>
      <w:pPr>
        <w:pStyle w:val="Normal"/>
        <w:numPr>
          <w:ilvl w:val="0"/>
          <w:numId w:val="6"/>
        </w:numPr>
        <w:ind w:left="426" w:hanging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Настоящее постановление вступает в силу с 01 января 2024 года и подлежит официальному опубликованию в сетевом издании "Ударник.ру" и обнародованию путем размещения на информационном стенде в здании администрации Старополтавского муниципального района Волгоградской области.</w:t>
      </w:r>
    </w:p>
    <w:p>
      <w:pPr>
        <w:pStyle w:val="Normal"/>
        <w:numPr>
          <w:ilvl w:val="0"/>
          <w:numId w:val="6"/>
        </w:numPr>
        <w:ind w:left="426" w:hanging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Отделу по общим, правовым, информационным вопросам и делам архива разместить данную муниципальную программу на официальном сайте администрации Старополтавского муниципального района </w:t>
      </w:r>
      <w:r>
        <w:rPr>
          <w:rFonts w:eastAsia="Calibri"/>
          <w:color w:val="000000"/>
          <w:sz w:val="28"/>
          <w:szCs w:val="28"/>
          <w:lang w:val="en-US" w:eastAsia="en-US"/>
        </w:rPr>
        <w:t>www</w:t>
      </w:r>
      <w:r>
        <w:rPr>
          <w:rFonts w:eastAsia="Calibri"/>
          <w:color w:val="000000"/>
          <w:sz w:val="28"/>
          <w:szCs w:val="28"/>
          <w:lang w:eastAsia="en-US"/>
        </w:rPr>
        <w:t>.stpadmin.ru в течение 5 дней после подписания настоящего постановления.</w:t>
      </w:r>
    </w:p>
    <w:p>
      <w:pPr>
        <w:pStyle w:val="Normal"/>
        <w:numPr>
          <w:ilvl w:val="0"/>
          <w:numId w:val="6"/>
        </w:numPr>
        <w:ind w:left="426" w:hanging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Контроль за исполнением настоящего постановления возложить на начальника отдела по образованию, спорту и молодежной политике администрации Старополтавского муниципального района С.Г. Вамбольдт.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5"/>
        <w:gridCol w:w="4251"/>
      </w:tblGrid>
      <w:tr>
        <w:trPr/>
        <w:tc>
          <w:tcPr>
            <w:tcW w:w="5495" w:type="dxa"/>
            <w:tcBorders/>
          </w:tcPr>
          <w:p>
            <w:pPr>
              <w:pStyle w:val="Normal"/>
              <w:widowControl w:val="false"/>
              <w:spacing w:before="720" w:after="0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Глава Старополтавского </w:t>
              <w:br/>
              <w:t>муниципального района</w:t>
            </w:r>
          </w:p>
        </w:tc>
        <w:tc>
          <w:tcPr>
            <w:tcW w:w="4251" w:type="dxa"/>
            <w:tcBorders/>
            <w:vAlign w:val="bottom"/>
          </w:tcPr>
          <w:p>
            <w:pPr>
              <w:pStyle w:val="Normal"/>
              <w:widowControl w:val="false"/>
              <w:spacing w:before="600" w:after="0"/>
              <w:ind w:firstLine="709"/>
              <w:jc w:val="right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А.С. Мелкумов</w:t>
            </w:r>
          </w:p>
        </w:tc>
      </w:tr>
    </w:tbl>
    <w:p>
      <w:pPr>
        <w:pStyle w:val="Normal"/>
        <w:rPr>
          <w:rFonts w:eastAsia="Calibri"/>
          <w:color w:val="000000"/>
          <w:sz w:val="28"/>
          <w:szCs w:val="24"/>
          <w:lang w:eastAsia="en-US"/>
        </w:rPr>
      </w:pPr>
      <w:r>
        <w:rPr>
          <w:rFonts w:eastAsia="Calibri"/>
          <w:color w:val="000000"/>
          <w:sz w:val="28"/>
          <w:szCs w:val="24"/>
          <w:lang w:eastAsia="en-US"/>
        </w:rPr>
      </w:r>
    </w:p>
    <w:p>
      <w:pPr>
        <w:pStyle w:val="Normal"/>
        <w:rPr>
          <w:rFonts w:eastAsia="Calibri"/>
          <w:color w:val="000000"/>
          <w:sz w:val="28"/>
          <w:szCs w:val="24"/>
          <w:lang w:eastAsia="en-US"/>
        </w:rPr>
      </w:pPr>
      <w:r>
        <w:rPr>
          <w:rFonts w:eastAsia="Calibri"/>
          <w:color w:val="000000"/>
          <w:sz w:val="28"/>
          <w:szCs w:val="24"/>
          <w:lang w:eastAsia="en-US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850" w:gutter="0" w:header="709" w:top="1134" w:footer="0" w:bottom="1134"/>
          <w:pgNumType w:start="1" w:fmt="decimal"/>
          <w:formProt w:val="false"/>
          <w:textDirection w:val="lrTb"/>
          <w:docGrid w:type="default" w:linePitch="272" w:charSpace="8192"/>
        </w:sectPr>
        <w:pStyle w:val="Normal"/>
        <w:rPr>
          <w:rFonts w:eastAsia="Calibri"/>
          <w:color w:val="000000"/>
          <w:sz w:val="28"/>
          <w:szCs w:val="24"/>
          <w:lang w:eastAsia="en-US"/>
        </w:rPr>
      </w:pPr>
      <w:r>
        <w:rPr>
          <w:rFonts w:eastAsia="Calibri"/>
          <w:color w:val="000000"/>
          <w:sz w:val="28"/>
          <w:szCs w:val="24"/>
          <w:lang w:eastAsia="en-US"/>
        </w:rPr>
      </w:r>
    </w:p>
    <w:p>
      <w:pPr>
        <w:pStyle w:val="Normal"/>
        <w:ind w:left="453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>
      <w:pPr>
        <w:pStyle w:val="Normal"/>
        <w:ind w:left="453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>
      <w:pPr>
        <w:pStyle w:val="Normal"/>
        <w:ind w:left="453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453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10 октября 2023 г. № 804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МУНИЦИПАЛЬНАЯ ПРОГРАММА </w:t>
        <w:br/>
        <w:t>"Повышение безопасности дорожного движения в Старополтавском муниципальном районе Волгоградской области" на 2024-2026 годы"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ПАСПОРТ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52"/>
        <w:gridCol w:w="6094"/>
      </w:tblGrid>
      <w:tr>
        <w:trPr/>
        <w:tc>
          <w:tcPr>
            <w:tcW w:w="3652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4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 Волгоградской области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4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МКУ "Образование";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общеобразовательные организации Старополтавского муниципального района: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МКОУ "Валуевская СШ", МКОУ "Верхневодянская СШ", МКОУ "Гмелинская СШ им. В.П. Агаркова", МКОУ "Иловатская СШ", МКОУ "Красноярская СШ", МКОУ "Курнаевская СШ", МКОУ "Новополтавская СШ им. А.Г. Кораблева", МКОУ "Старополтавская СШ",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"Кановская ОШ" - филиал МКОУ "Старополтавская СШ", "Калининская ОШ" - филиал МКОУ"Новополтавская СШ им. А.Г. Кораблева"</w:t>
            </w:r>
            <w:r>
              <w:rPr>
                <w:color w:val="000000"/>
                <w:sz w:val="24"/>
              </w:rPr>
              <w:t xml:space="preserve"> .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94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автобусами.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недопущение детского дорожно-транспортного травматизма;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317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безопасности школьных транспортных средств.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094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317"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количество детей, пострадавших в результате дорожно-транспортных происшествий к 2026г.- 0 единиц;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317" w:hanging="283"/>
              <w:jc w:val="both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количество школьных автобусов, отвечающих требованиям безопасности перевозки обучающихся образовательных организаций 2026 г. – 10 единиц;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094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2024-2026 гг. в один этап</w:t>
            </w:r>
          </w:p>
        </w:tc>
      </w:tr>
      <w:tr>
        <w:trPr>
          <w:trHeight w:val="582" w:hRule="atLeast"/>
        </w:trPr>
        <w:tc>
          <w:tcPr>
            <w:tcW w:w="3652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094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Общий объем финансирования муниципальной программы составит 730,00 тыс. руб., в том числе из: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бюджета Старополтавского муниципального района – 730,00 тыс. руб. из них: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г. – 221,50 тыс. руб.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г. – 239,80 тыс. руб.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 г. – 268,70 тыс. руб.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94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количества дорожно-транспортных происшествий, гибели и травмирования детей</w:t>
            </w:r>
          </w:p>
        </w:tc>
      </w:tr>
    </w:tbl>
    <w:p>
      <w:pPr>
        <w:pStyle w:val="Normal"/>
        <w:keepNext w:val="true"/>
        <w:keepLines/>
        <w:numPr>
          <w:ilvl w:val="0"/>
          <w:numId w:val="3"/>
        </w:numPr>
        <w:spacing w:before="240" w:after="240"/>
        <w:ind w:left="357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характеристика сферы реализации муниципальной программы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Обеспечение безопасности дорожного движения является одной из форм реализации единой государственной политики в области охраны жизни, здоровья и имущества граждан путем предупреждения дорожно-транспортных происшествий, снижения тяжести их последствий. Данное направление деятельности человечества имеет огромное социальное и экономическое значение.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Последствия дорожно-транспортных происшествий, связанные с гибелью и ранением людей, потерей и повреждением материальных ценностей, наносят значительный ущерб экономике страны. Разработка региональных и местных программ с целью реализации государственной политики в области обеспечения безопасности дорожного движения, направленных на сокращение количества дорожно-транспортных происшествий и снижение ущерба от этих происшествий, регламентируется статьей 10 Федерального закона от 10 декабря 1995 г. № 196-ФЗ "О безопасности дорожного движения". С учетом уровня риска гибели людей в результате дорожно-транспортных происшествий (далее – ДТП) и ущерба, наносимого экономическим интересам района, эффективное обеспечение безопасности дорожного движения не может быть достигнуто только в рамках основной деятельности органов местного самоуправления.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К основным факторам недостаточного обеспечения безопасности дорожного движения относятся: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426" w:hanging="360"/>
        <w:jc w:val="both"/>
        <w:rPr>
          <w:color w:val="000000"/>
        </w:rPr>
      </w:pPr>
      <w:r>
        <w:rPr>
          <w:color w:val="000000"/>
        </w:rPr>
        <w:t>недостаточная концентрация ресурсов на реализацию конкретных мероприятий, непосредственно влияющих на уровень безопасности дорожного движения и соответствующих приоритетным целям и задачам в сфере обеспечения безопасности дорожного движения;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426" w:hanging="360"/>
        <w:jc w:val="both"/>
        <w:rPr>
          <w:color w:val="000000"/>
        </w:rPr>
      </w:pPr>
      <w:r>
        <w:rPr>
          <w:color w:val="000000"/>
        </w:rPr>
        <w:t>массовое пренебрежение требованиями безопасности дорожного движения, отсутствие транспортной культуры и правосознания со стороны участников дорожного движения и общества;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426" w:hanging="360"/>
        <w:jc w:val="both"/>
        <w:rPr>
          <w:color w:val="000000"/>
        </w:rPr>
      </w:pPr>
      <w:r>
        <w:rPr>
          <w:color w:val="000000"/>
        </w:rPr>
        <w:t>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В первую очередь, необходимо сконцентрировать ресурсы на снижение рисков возникновения ДТП, совершаемых по причине "человеческого" фактора, путем повышения правового сознания участников дорожного движения и формирования у них стереотипов безопасного поведения на дорогах. При этом концентрацию ресурсов недостаточно ограничивать рамками основной деятельности контрольно-надзорных органов, необходимо направление средств на повышение образовательного уровня по знанию правил дорожного движения у обучающихся школ, размещение информационных материалов в средствах массовой информации, создание информационно-пропагандистской продукции, направленных на укрепление дисциплины участников дорожного движения; повышение квалификации водителей и преподавательского состава образовательных организаций по Правилам дорожного движения, направленных на профилактику детского и юношеского дорожного травматизма.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В целях совершенствования существующих систем управления, организации и контроля дорожного движения, то есть снижения рисков возникновения дорожно-транспортных происшествий, совершаемых по техническим причинам, предусматривается: установка на школьных автобусах проблесковых маяков, замена и установка на школьном автотранспорте блоков тахографа, установка на наиболее опасных участках дороги макетов школьника, автомобилей ДПС, приобретение светоотражающих элементов на одежду для школьников.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По данным отделения министерства внутренних дел Российской Федерации по Старополтавскому району Волгоградской области основными видами дорожно-транспортных происшествий в Старополтавском муниципальном районе Волгоградской области за 2022 год являлись: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столкновение – 1 (погибших 2, 1 пострадавший – ребенок);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опрокидывание – 3 (пострадавших 4 несовершеннолетних);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съезд с дороги – 4 (пострадавших 2 из них 1 ребенок).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С января по август 2023 года допущено 2 дорожно-транспортных происшествия 2 человека пострадали. Серьезную обеспокоенность вызывает состояние детского дорожно-транспортного травматизма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На территории Старополтавского муниципального района осуществляют деятельность 17 образовательных организаций с общим количеством обучающихся 2180 ч., на балансе которых стоят 11 единиц школьного автотранспорта, 2 из которых технически не исправлены, а также планируется приобретение нового школьного автобуса для "Калининская ОШ" филиал МКОУ"Новополтавская СШ им. А.Г. Кораблева" 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Постановлением Правительства Российской Федерации от 23 декабря 2017 года № 1621 внесены изменения в правила организованной перевозки групп детей, так в целях минимизации риска возникновения дорожно-транспортных происшествий при организованной перевозке групп детей автобусами с 1 июля 2018 года автобусы дополнительно должны быть оснащены проблесковыми маячками желтого или оранжевого цвета. Маячок должен быть включен при движении автобуса, перевозящего детей.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Согласно Постановлению Правительства № 2216 от 22.12.2020г. должна быть обеспечена передача данных в ГАИС "ЭРА-ГЛОНАСС" и в Федеральную службу по надзору в сфере транспорта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Отсутствие финансирования может повлиять на реализацию программных мероприятий и достижение поставленных целей.</w:t>
      </w:r>
    </w:p>
    <w:p>
      <w:pPr>
        <w:pStyle w:val="Normal"/>
        <w:keepNext w:val="true"/>
        <w:keepLines/>
        <w:numPr>
          <w:ilvl w:val="0"/>
          <w:numId w:val="3"/>
        </w:numPr>
        <w:spacing w:before="240" w:after="240"/>
        <w:ind w:left="357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Цели, задачи, сроки и этапы реализации муниципальной программы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Обеспечение безопасности при организованной перевозке групп детей школьными автобусами является приоритетным направлением социально-экономического развития района в области образования.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Целью программы является снижение риска возникновения дорожно-транспортных происшествий при организованной перевозке групп детей школьными автобусами.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Для достижения поставленных целей необходимо решение следующих задач:</w:t>
      </w:r>
    </w:p>
    <w:p>
      <w:pPr>
        <w:pStyle w:val="Normal"/>
        <w:numPr>
          <w:ilvl w:val="0"/>
          <w:numId w:val="2"/>
        </w:numPr>
        <w:ind w:left="317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недопущение детского дорожно-транспортного травматизма;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ind w:left="284" w:hanging="284"/>
        <w:jc w:val="both"/>
        <w:rPr>
          <w:color w:val="000000"/>
        </w:rPr>
      </w:pPr>
      <w:r>
        <w:rPr>
          <w:color w:val="000000"/>
        </w:rPr>
        <w:t>повышение уровня безопасности школьных транспортных средств.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Реализация поставленных целей и задач через систему программных мероприятий позволит Старополтавскому муниципальному району снизить показатели аварийности и, следовательно, уменьшить социальную значимость проблемы.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Реализацию программы предполагается осуществить в один этап в 2024-2026 годах.</w:t>
      </w:r>
    </w:p>
    <w:p>
      <w:pPr>
        <w:pStyle w:val="Normal"/>
        <w:keepNext w:val="true"/>
        <w:keepLines/>
        <w:numPr>
          <w:ilvl w:val="0"/>
          <w:numId w:val="3"/>
        </w:numPr>
        <w:spacing w:before="240" w:after="240"/>
        <w:ind w:left="720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Целевые показатели достижения целей и решения задач, </w:t>
        <w:br/>
        <w:t>ожидаемые конечные результаты реализации муниципальной программы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За первое полугодие 2023 года на территории Старополтавского муниципального района допущено 2 дорожно-транспортных происшествий 2 человека пострадали. Реализация основных направлений муниципальной программы позволит достичь следующих показателей:</w:t>
      </w:r>
    </w:p>
    <w:p>
      <w:pPr>
        <w:pStyle w:val="Normal"/>
        <w:numPr>
          <w:ilvl w:val="0"/>
          <w:numId w:val="1"/>
        </w:numPr>
        <w:ind w:left="31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школьных автобусов, отвечающих требованиям безопасности перевозки обучающихся образовательных организаций 2026 г. – 10 единиц;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284" w:hanging="284"/>
        <w:jc w:val="both"/>
        <w:rPr>
          <w:color w:val="000000"/>
        </w:rPr>
      </w:pPr>
      <w:r>
        <w:rPr>
          <w:color w:val="000000"/>
        </w:rPr>
        <w:t>количество детей, пострадавших в результате дорожно-транспортных происшествий к 2026 г. – 0 человек.</w:t>
      </w:r>
    </w:p>
    <w:p>
      <w:pPr>
        <w:pStyle w:val="NormalWeb"/>
        <w:shd w:val="clear" w:color="auto" w:fill="FFFFFF"/>
        <w:spacing w:beforeAutospacing="0" w:before="0" w:afterAutospacing="0" w:after="0"/>
        <w:ind w:left="284" w:hanging="0"/>
        <w:jc w:val="both"/>
        <w:rPr>
          <w:color w:val="000000"/>
        </w:rPr>
      </w:pPr>
      <w:r>
        <w:rPr>
          <w:color w:val="000000"/>
        </w:rPr>
        <w:t>Перечень целевых показателей муниципальной программы представлен в Приложении 1 к муниципальной программе.</w:t>
      </w:r>
    </w:p>
    <w:p>
      <w:pPr>
        <w:pStyle w:val="NormalWeb"/>
        <w:shd w:val="clear" w:color="auto" w:fill="FFFFFF"/>
        <w:spacing w:beforeAutospacing="0" w:before="0" w:afterAutospacing="0" w:after="0"/>
        <w:ind w:firstLine="284"/>
        <w:jc w:val="both"/>
        <w:rPr>
          <w:color w:val="000000"/>
        </w:rPr>
      </w:pPr>
      <w:r>
        <w:rPr>
          <w:color w:val="000000"/>
        </w:rPr>
        <w:t>Достижение целевых показателей в конце каждого года реализации программы определяется на основании запроса отделом по образованию, спорту и молодёжной политике статистических данных ОГИБДД ОМВД России по Старополтавскому району и запросов в образовательные организации.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284"/>
        <w:jc w:val="both"/>
        <w:rPr>
          <w:color w:val="000000"/>
        </w:rPr>
      </w:pPr>
      <w:r>
        <w:rPr>
          <w:color w:val="000000"/>
        </w:rPr>
        <w:t>Ожидаемые результаты реализации муниципальной программы – снижение количества дорожно-транспортных происшествий, гибели и травмирования детей.</w:t>
      </w:r>
    </w:p>
    <w:p>
      <w:pPr>
        <w:pStyle w:val="Normal"/>
        <w:keepNext w:val="true"/>
        <w:keepLines/>
        <w:numPr>
          <w:ilvl w:val="0"/>
          <w:numId w:val="3"/>
        </w:numPr>
        <w:spacing w:before="240" w:after="240"/>
        <w:ind w:left="720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Обобщенная характеристика основных мероприятий муниципальной программы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Важнейшими мероприятиями программы являются мероприятия, направленные на повышение правового сознания и предупреждения опасного поведения участников дорожного движения, а также на оснащение необходимым оборудованием школьного транспорта, что снизит риск возникновения дорожно-транспортных происшествий при организованной перевозке групп детей автобусами.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Планируется осуществление следующих первоочередных мероприятий: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ind w:left="426" w:hanging="360"/>
        <w:jc w:val="both"/>
        <w:rPr>
          <w:color w:val="000000"/>
        </w:rPr>
      </w:pPr>
      <w:r>
        <w:rPr>
          <w:color w:val="000000"/>
        </w:rPr>
        <w:t>проведение районного конкурса юных велосипедистов "Безопасное колесо;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ind w:left="426" w:hanging="360"/>
        <w:jc w:val="both"/>
        <w:rPr>
          <w:color w:val="000000"/>
        </w:rPr>
      </w:pPr>
      <w:r>
        <w:rPr>
          <w:color w:val="000000"/>
        </w:rPr>
        <w:t>проведение районного смотра-конкурса среди образовательных организаций на лучшую организацию работы по предупреждению детского дорожно-транспортного травматизма;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ind w:left="426" w:hanging="360"/>
        <w:jc w:val="both"/>
        <w:rPr>
          <w:color w:val="000000"/>
        </w:rPr>
      </w:pPr>
      <w:r>
        <w:rPr>
          <w:color w:val="000000"/>
        </w:rPr>
        <w:t>приобретение светоотражающих элементов на одежду обучающихся, технических средств обучения, наглядных учебных и методических материалов для организаций, осуществляющих обучение детей и работу по профилактике детского дорожно-транспортного травматизма;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ind w:left="426" w:hanging="360"/>
        <w:jc w:val="both"/>
        <w:rPr>
          <w:color w:val="000000"/>
        </w:rPr>
      </w:pPr>
      <w:r>
        <w:rPr>
          <w:color w:val="000000"/>
        </w:rPr>
        <w:t>замена блока СКЗИ (НКМ) включая работы, связанные с заменой НКМ (демонтаж, монтаж, деактивация, активация, калибровка), метрологическую проверку тахографа;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ind w:left="426" w:hanging="360"/>
        <w:jc w:val="both"/>
        <w:rPr>
          <w:color w:val="000000"/>
        </w:rPr>
      </w:pPr>
      <w:r>
        <w:rPr>
          <w:color w:val="000000"/>
        </w:rPr>
        <w:t>техническое облуживание тахографов;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ind w:left="426" w:hanging="360"/>
        <w:jc w:val="both"/>
        <w:rPr>
          <w:color w:val="000000"/>
        </w:rPr>
      </w:pPr>
      <w:r>
        <w:rPr>
          <w:color w:val="000000"/>
        </w:rPr>
        <w:t xml:space="preserve">услуги спутникового </w:t>
      </w:r>
      <w:r>
        <w:rPr>
          <w:color w:val="000000"/>
          <w:lang w:val="en-US"/>
        </w:rPr>
        <w:t>GPS</w:t>
      </w:r>
      <w:r>
        <w:rPr>
          <w:color w:val="000000"/>
        </w:rPr>
        <w:t>-Глонасс мониторинга мобильных объектов;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ind w:left="426" w:hanging="360"/>
        <w:jc w:val="both"/>
        <w:rPr>
          <w:color w:val="000000"/>
        </w:rPr>
      </w:pPr>
      <w:r>
        <w:rPr>
          <w:color w:val="000000"/>
        </w:rPr>
        <w:t>выпуск и отгрузка карты тахографа;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ind w:left="426" w:hanging="360"/>
        <w:jc w:val="both"/>
        <w:rPr>
          <w:color w:val="000000"/>
        </w:rPr>
      </w:pPr>
      <w:r>
        <w:rPr>
          <w:color w:val="000000"/>
          <w:szCs w:val="28"/>
        </w:rPr>
        <w:t>курсы повышения профессионального мастерства водителей (20-часовая программа) по безопасности дорожного движения;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ind w:left="426" w:hanging="360"/>
        <w:jc w:val="both"/>
        <w:rPr>
          <w:color w:val="000000"/>
        </w:rPr>
      </w:pPr>
      <w:r>
        <w:rPr>
          <w:color w:val="000000"/>
          <w:szCs w:val="28"/>
        </w:rPr>
        <w:t>ввод в эксплуатацию контрольных устройств (тахографа);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ind w:left="426" w:hanging="360"/>
        <w:jc w:val="both"/>
        <w:rPr>
          <w:color w:val="000000"/>
          <w:szCs w:val="28"/>
        </w:rPr>
      </w:pPr>
      <w:r>
        <w:rPr>
          <w:color w:val="000000"/>
          <w:szCs w:val="28"/>
        </w:rPr>
        <w:t>идентификация АНС в ГАИС "ЭРА-ГЛОНАСС" и обеспечение передачи в Ространснадзор информации, поступающей от АСН в ГАИС "ЭРА-ГЛОНАСС".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Перечень мероприятий муниципальной программы представлен в Приложении 2 к муниципальной программе.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В целях достижения максимального эффекта от перечисленных мероприятий осуществляется взаимодействие со всеми субъектами системы обеспечения безопасности дорожного движения: как организации по строительству и содержанию улично-дорожной сети, так и администрации сельских поселений, средства массовой информации, автотранспортные организации, школы и иные организации.</w:t>
      </w:r>
    </w:p>
    <w:p>
      <w:pPr>
        <w:pStyle w:val="Normal"/>
        <w:keepNext w:val="true"/>
        <w:keepLines/>
        <w:numPr>
          <w:ilvl w:val="0"/>
          <w:numId w:val="3"/>
        </w:numPr>
        <w:spacing w:before="240" w:after="240"/>
        <w:ind w:left="720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Обоснование объема финансовых ресурсов, необходимых для реализации муниципальной программы</w:t>
      </w:r>
    </w:p>
    <w:p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Обоснование объема финансовых ресурсов определяет целесообразность выделения средств районного бюджета на реализацию мероприятий по безопасности дорожного движения на территории Старополтавского муниципального района Волгоградской области.</w:t>
      </w:r>
    </w:p>
    <w:p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 средства, выделяемые из районного бюджета на реализацию программы, планируется:</w:t>
      </w:r>
    </w:p>
    <w:p>
      <w:pPr>
        <w:pStyle w:val="Normal"/>
        <w:numPr>
          <w:ilvl w:val="0"/>
          <w:numId w:val="7"/>
        </w:numPr>
        <w:ind w:left="426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районного конкурса юных велосипедистов "Безопасное колесо" -15,00 тыс. рублей. Данные денежные средства планируется направить для награждения победителей и участников конкурса, а также на приобретение расходного материала для проведения мероприятия;</w:t>
      </w:r>
    </w:p>
    <w:p>
      <w:pPr>
        <w:pStyle w:val="Normal"/>
        <w:numPr>
          <w:ilvl w:val="0"/>
          <w:numId w:val="7"/>
        </w:numPr>
        <w:ind w:left="426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районного смотра-конкурса среди образовательных организаций на лучшую организацию работы по предупреждению детского дорожно-транспортного травматизма-16,00 тыс.руб. Данные денежные средства планируется направить для награждения победителей и участников конкурса, а также на приобретение расходного материала для проведения мероприятия;</w:t>
      </w:r>
    </w:p>
    <w:p>
      <w:pPr>
        <w:pStyle w:val="Normal"/>
        <w:numPr>
          <w:ilvl w:val="0"/>
          <w:numId w:val="7"/>
        </w:numPr>
        <w:ind w:left="426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приобретение светоотражающих элементов на одежду обучающихся, технических средств обучения, наглядных учебных и методических материалов для организаций, осуществляющих обучение детей и работу по профилактике детского дорожно-транспортного травматизма – 36,50 тыс.руб. Данные денежные средства планируется направить на приобретение светоотражающих элементов на одежду для детей, стендов по ПДД, папки-раскладушки и т.д.;</w:t>
      </w:r>
    </w:p>
    <w:p>
      <w:pPr>
        <w:pStyle w:val="Normal"/>
        <w:numPr>
          <w:ilvl w:val="0"/>
          <w:numId w:val="7"/>
        </w:numPr>
        <w:ind w:left="426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замена блоков СКЗИ (включая работы, связанные с заменой) - 270,00 тыс. руб.;</w:t>
      </w:r>
    </w:p>
    <w:p>
      <w:pPr>
        <w:pStyle w:val="Normal"/>
        <w:numPr>
          <w:ilvl w:val="0"/>
          <w:numId w:val="7"/>
        </w:numPr>
        <w:ind w:left="426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техническое обслуживание тахографов – 105,00 тыс. руб.;</w:t>
      </w:r>
    </w:p>
    <w:p>
      <w:pPr>
        <w:pStyle w:val="Normal"/>
        <w:numPr>
          <w:ilvl w:val="0"/>
          <w:numId w:val="7"/>
        </w:numPr>
        <w:ind w:left="426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услуги спутникового </w:t>
      </w:r>
      <w:r>
        <w:rPr>
          <w:color w:val="000000"/>
          <w:sz w:val="24"/>
          <w:szCs w:val="24"/>
          <w:lang w:val="en-US"/>
        </w:rPr>
        <w:t>GPS</w:t>
      </w:r>
      <w:r>
        <w:rPr>
          <w:color w:val="000000"/>
          <w:sz w:val="24"/>
          <w:szCs w:val="24"/>
        </w:rPr>
        <w:t>-Глонасс – 162,00 тыс. руб.;</w:t>
      </w:r>
    </w:p>
    <w:p>
      <w:pPr>
        <w:pStyle w:val="Normal"/>
        <w:numPr>
          <w:ilvl w:val="0"/>
          <w:numId w:val="7"/>
        </w:numPr>
        <w:ind w:left="426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выпуск и отгрузка карты тахографа – 36,00 тыс. руб.;</w:t>
      </w:r>
    </w:p>
    <w:p>
      <w:pPr>
        <w:pStyle w:val="Normal"/>
        <w:numPr>
          <w:ilvl w:val="0"/>
          <w:numId w:val="7"/>
        </w:numPr>
        <w:ind w:left="426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прохождение курсов повышения профессионального мастерства водителей (20-часовая программа) по безопасности дорожного движения в количестве 10 человек из расчета 0,35 тыс. руб. на одного человека, всего на сумму - 10,50 тыс. руб.;</w:t>
      </w:r>
    </w:p>
    <w:p>
      <w:pPr>
        <w:pStyle w:val="Normal"/>
        <w:numPr>
          <w:ilvl w:val="0"/>
          <w:numId w:val="7"/>
        </w:numPr>
        <w:ind w:left="426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ввод в эксплуатацию контрольных устройств (тахографа) – 5,50 тыс. руб.;</w:t>
      </w:r>
    </w:p>
    <w:p>
      <w:pPr>
        <w:pStyle w:val="Normal"/>
        <w:numPr>
          <w:ilvl w:val="0"/>
          <w:numId w:val="7"/>
        </w:numPr>
        <w:ind w:left="426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Идентификация АНС в ГАИС "ЭРА-ГЛОНАСС" и обеспечение передачи в Ространснадзор информации, поступающей от АСН в ГАИС "ЭРА-ГЛОНАСС" - 73,50 тыс. руб.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Это позволит повысить эффективность реализации мероприятий программы и улучшить социальные последствия ее реализации исходя из уровня достижения количественных и качественных показателей программы.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Финансирование мероприятий программы осуществляется за счет средств бюджета Старополтавского муниципального района.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Общий объем финансирования программы составит – 730,00 тыс. руб.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2024 год –221,50 тыс. руб.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2025 год –239,80 тыс. руб.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2026 год –268,70 тыс. руб.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Ресурсное обеспечение муниципальной программы представлено в приложении 3.</w:t>
      </w:r>
    </w:p>
    <w:p>
      <w:pPr>
        <w:pStyle w:val="Normal"/>
        <w:keepNext w:val="true"/>
        <w:keepLines/>
        <w:numPr>
          <w:ilvl w:val="0"/>
          <w:numId w:val="3"/>
        </w:numPr>
        <w:spacing w:before="240" w:after="240"/>
        <w:ind w:left="720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Механизмы реализации муниципальной программы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Механизм реализации программы строится на принципах партнерства, четкого разграничения полномочий и ответственности всех исполнителей.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Отдел по образованию, спорту и молодежной политике администрации Старополтавского муниципального района осуществляет общий контроль выполнения программы, организует работу по выполнению мероприятий программы, обеспечивает общую координацию деятельности соисполнителей реализации программы, определяет первоочередные мероприятия и объем их финансирования, регулярно анализирует работу, проводимую в рамках реализации муниципальной программы, эффективность использования финансовых средств.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В целях реализации программы отдел по образованию, спорту и молодежной политике администрации Старополтавского муниципального района: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ind w:left="426" w:hanging="360"/>
        <w:jc w:val="both"/>
        <w:rPr>
          <w:color w:val="000000"/>
        </w:rPr>
      </w:pPr>
      <w:r>
        <w:rPr>
          <w:color w:val="000000"/>
        </w:rPr>
        <w:t>ежегодно уточняет с учетом выделяемых на реализацию муниципальной программы финансовых средств целевые показатели и затраты по программным мероприятиям, финансируемым за счет средств муниципального бюджета, а так же механизм реализации муниципальной программы, состав поставщиков продукции и исполнителей работ по указанным программным мероприятиям;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ind w:left="426" w:hanging="360"/>
        <w:jc w:val="both"/>
        <w:rPr>
          <w:color w:val="000000"/>
        </w:rPr>
      </w:pPr>
      <w:r>
        <w:rPr>
          <w:color w:val="000000"/>
        </w:rPr>
        <w:t>осуществляет управление исполнителями работ и услуг по программным мероприятиям, обеспечивает эффективное использование средств муниципального бюджета.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Соисполнители программы: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ind w:left="426" w:hanging="360"/>
        <w:jc w:val="both"/>
        <w:rPr>
          <w:color w:val="000000"/>
        </w:rPr>
      </w:pPr>
      <w:r>
        <w:rPr>
          <w:color w:val="000000"/>
        </w:rPr>
        <w:t>организуют выполнение программных мероприятий;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ind w:left="426" w:hanging="360"/>
        <w:jc w:val="both"/>
        <w:rPr>
          <w:color w:val="000000"/>
        </w:rPr>
      </w:pPr>
      <w:r>
        <w:rPr>
          <w:color w:val="000000"/>
        </w:rPr>
        <w:t>для исполнения программных мероприятий, финансируемых за счет средств муниципального бюджета, заключают договоры на закупку и поставку продукции с организациями, определяемыми на конкурсной основе, в соответствии с законодательством Российской Федерации, регулирующим порядок размещения заказов на поставки товаров, выполнение работ, оказание услуг;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ind w:left="426" w:hanging="360"/>
        <w:jc w:val="both"/>
        <w:rPr>
          <w:color w:val="000000"/>
        </w:rPr>
      </w:pPr>
      <w:r>
        <w:rPr>
          <w:color w:val="000000"/>
        </w:rPr>
        <w:t>предоставляют в отдел по образованию, спорту и молодёжной политике Старополтавского муниципального района сведения о результатах реализации соответствующих мероприятий программы о целевом использовании выделенных средств бюджета;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ind w:left="426" w:hanging="360"/>
        <w:jc w:val="both"/>
        <w:rPr>
          <w:color w:val="000000"/>
        </w:rPr>
      </w:pPr>
      <w:r>
        <w:rPr>
          <w:color w:val="000000"/>
        </w:rPr>
        <w:t>несут ответственность за реализацию соответствующих мероприятий программы в пределах своих полномочий.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Механизм реализации Программы включает в себя планирование и прогнозирование, реализацию программных мероприятий, мониторинг и контроль хода выполнения Программы, уточнение и корректировку программных мероприятий, объемов и источников финансирования, целевых индикаторов.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Исполнитель программы осуществляет управление и организует реализацию мероприятий программы по срокам и процедурам, согласованным с заказчиками – непосредственными исполнителями мероприятий программы.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Финансирование мероприятий программы осуществляется в пределах утвержденных лимитов.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Ресурсное обеспечение представлено в приложении 3 к Программе.</w:t>
      </w:r>
    </w:p>
    <w:p>
      <w:pPr>
        <w:pStyle w:val="Normal"/>
        <w:keepNext w:val="true"/>
        <w:keepLines/>
        <w:numPr>
          <w:ilvl w:val="0"/>
          <w:numId w:val="3"/>
        </w:numPr>
        <w:spacing w:before="240" w:after="240"/>
        <w:ind w:left="720" w:hanging="3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Имущество, приобретаемое в рамках муниципальной программы, является муниципальной собственностью Старополтавского муниципального района.</w:t>
      </w:r>
    </w:p>
    <w:p>
      <w:pPr>
        <w:sectPr>
          <w:headerReference w:type="default" r:id="rId4"/>
          <w:headerReference w:type="first" r:id="rId5"/>
          <w:footerReference w:type="default" r:id="rId6"/>
          <w:footerReference w:type="first" r:id="rId7"/>
          <w:type w:val="nextPage"/>
          <w:pgSz w:w="11906" w:h="16838"/>
          <w:pgMar w:left="1417" w:right="850" w:gutter="0" w:header="709" w:top="1134" w:footer="0" w:bottom="1134"/>
          <w:pgNumType w:start="1" w:fmt="decimal"/>
          <w:formProt w:val="false"/>
          <w:titlePg/>
          <w:textDirection w:val="lrTb"/>
          <w:docGrid w:type="default" w:linePitch="272" w:charSpace="8192"/>
        </w:sect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9639" w:hanging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>
      <w:pPr>
        <w:pStyle w:val="Normal"/>
        <w:numPr>
          <w:ilvl w:val="0"/>
          <w:numId w:val="0"/>
        </w:numPr>
        <w:ind w:left="9639" w:hanging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9639" w:hanging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9639" w:hanging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муниципальной программе</w:t>
      </w:r>
    </w:p>
    <w:p>
      <w:pPr>
        <w:pStyle w:val="Normal"/>
        <w:numPr>
          <w:ilvl w:val="0"/>
          <w:numId w:val="0"/>
        </w:numPr>
        <w:ind w:left="9639" w:hanging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"Повышение безопасности дорожного движения в Старополтавском</w:t>
      </w:r>
    </w:p>
    <w:p>
      <w:pPr>
        <w:pStyle w:val="Normal"/>
        <w:numPr>
          <w:ilvl w:val="0"/>
          <w:numId w:val="0"/>
        </w:numPr>
        <w:ind w:left="9639" w:hanging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муниципальном районе Волгоградской области" на 2024-2026 годы"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ПЕРЕЧЕНЬ </w:t>
        <w:br/>
        <w:t>целевых показателей муниципальной программы Старополтавского муниципального района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a8"/>
        <w:tblW w:w="146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6"/>
        <w:gridCol w:w="3119"/>
        <w:gridCol w:w="1276"/>
        <w:gridCol w:w="1701"/>
        <w:gridCol w:w="1276"/>
        <w:gridCol w:w="1843"/>
        <w:gridCol w:w="2126"/>
        <w:gridCol w:w="2692"/>
      </w:tblGrid>
      <w:tr>
        <w:trPr/>
        <w:tc>
          <w:tcPr>
            <w:tcW w:w="56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311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Единица измерения</w:t>
            </w:r>
          </w:p>
        </w:tc>
        <w:tc>
          <w:tcPr>
            <w:tcW w:w="9638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Значения целевых показателей</w:t>
            </w:r>
          </w:p>
        </w:tc>
      </w:tr>
      <w:tr>
        <w:trPr/>
        <w:tc>
          <w:tcPr>
            <w:tcW w:w="56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1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Базовый год (отчетный)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Текущий год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2023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Первый год реализации муниципальной программы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Второй год реализации муниципальной программы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Третий год реализации муниципальной программы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033" w:type="dxa"/>
            <w:gridSpan w:val="7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"Повышение безопасности дорожного движения в Старополтавском муниципальном районе Волгоградской области" на 2024-2026 годы"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033" w:type="dxa"/>
            <w:gridSpan w:val="7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Цель 1: снижение риска возникновения дорожно-транспортных происшествий при организованной перевозке групп детей школьными автобусами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4033" w:type="dxa"/>
            <w:gridSpan w:val="7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Задача 1:недопущение детского дорожно-транспортного травматизма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Целевой показатель 1: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количество детей, пострадавших в результате дорожно-транспортных происшествий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чел.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4033" w:type="dxa"/>
            <w:gridSpan w:val="7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Задача 2:Повышение уровня безопасности школьных транспортных средств.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Целевой показатель 2: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количество школьных автобусов, отвечающих требованиям безопасности перевозки обучающихся образовательных организациях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ед.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</w:tr>
    </w:tbl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sectPr>
          <w:headerReference w:type="default" r:id="rId8"/>
          <w:headerReference w:type="first" r:id="rId9"/>
          <w:footerReference w:type="default" r:id="rId10"/>
          <w:footerReference w:type="first" r:id="rId11"/>
          <w:type w:val="nextPage"/>
          <w:pgSz w:orient="landscape" w:w="16838" w:h="11906"/>
          <w:pgMar w:left="1134" w:right="1134" w:gutter="0" w:header="709" w:top="1417" w:footer="0" w:bottom="850"/>
          <w:pgNumType w:start="1" w:fmt="decimal"/>
          <w:formProt w:val="false"/>
          <w:titlePg/>
          <w:textDirection w:val="lrTb"/>
          <w:docGrid w:type="default" w:linePitch="326" w:charSpace="8192"/>
        </w:sect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1020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2</w:t>
      </w:r>
    </w:p>
    <w:p>
      <w:pPr>
        <w:pStyle w:val="Normal"/>
        <w:ind w:left="1020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1020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1020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муниципальной программе "Повышение безопасности дорожного движения в Старополтавском муниципальном районе Волгоградской области" на 2024-2026 годы"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ПЕРЕЧЕНЬ </w:t>
        <w:br/>
        <w:t>программных мероприятий по реализации муниципальной программы "Повышение безопасности дорожного движения</w:t>
      </w:r>
    </w:p>
    <w:p>
      <w:pPr>
        <w:pStyle w:val="ConsPlusNonforma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Старополтавском муниципальном районе" на 2024-2026 годы"</w:t>
      </w:r>
    </w:p>
    <w:p>
      <w:pPr>
        <w:pStyle w:val="ConsPlusNon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Style w:val="a8"/>
        <w:tblW w:w="148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1843"/>
        <w:gridCol w:w="1843"/>
        <w:gridCol w:w="849"/>
        <w:gridCol w:w="1080"/>
        <w:gridCol w:w="1614"/>
        <w:gridCol w:w="1326"/>
        <w:gridCol w:w="1252"/>
        <w:gridCol w:w="1289"/>
        <w:gridCol w:w="1519"/>
        <w:gridCol w:w="1558"/>
      </w:tblGrid>
      <w:tr>
        <w:trPr/>
        <w:tc>
          <w:tcPr>
            <w:tcW w:w="675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849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Год реализации</w:t>
            </w:r>
          </w:p>
        </w:tc>
        <w:tc>
          <w:tcPr>
            <w:tcW w:w="8080" w:type="dxa"/>
            <w:gridSpan w:val="6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Объемы и источники финансирования ( тыс. руб.)</w:t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Ожидаемые результаты</w:t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80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7000" w:type="dxa"/>
            <w:gridSpan w:val="5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 том числе:</w:t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49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80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Федеральный бюджет</w:t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Областной бюджет</w:t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Районный бюджет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бюджет сельских поселений</w:t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4848" w:type="dxa"/>
            <w:gridSpan w:val="11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Муниципальная программа "Повышение безопасности дорожного движения в Старополтавском муниципальном районе" на 2024-2026 годы"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МКУ "Образование"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22,50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25,00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22,50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25,00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1.1.</w:t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Проведение районного конкурса юных велосипедистов "Безопасное колесо"</w:t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МКУ "Образование"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4,00</w:t>
            </w:r>
          </w:p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5,00</w:t>
            </w:r>
          </w:p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4,00</w:t>
            </w:r>
          </w:p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Сокращение количества ДТП с пострадавшими, воспитание культуры участников дорожного движения</w:t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Итого по мероприятию</w:t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2024-2026</w:t>
            </w:r>
          </w:p>
        </w:tc>
        <w:tc>
          <w:tcPr>
            <w:tcW w:w="1080" w:type="dxa"/>
            <w:tcBorders/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15,00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15,00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1.2.</w:t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Проведение районного смотра-конкурса среди образовательных организаций на лучшую организацию работы по предупреждению детского дорожно-транспортного травматизма</w:t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МКУ "Образование"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5,00</w:t>
            </w:r>
          </w:p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5,50</w:t>
            </w:r>
          </w:p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5,50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5,00</w:t>
            </w:r>
          </w:p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5,50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Сокращение количества ДТП с пострадавшими, воспитание культуры участников дорожного движения</w:t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Итого по мероприятию</w:t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2024-2026</w:t>
            </w:r>
          </w:p>
        </w:tc>
        <w:tc>
          <w:tcPr>
            <w:tcW w:w="1080" w:type="dxa"/>
            <w:tcBorders/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16,00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16,00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1.3.</w:t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Приобретение светоотражающих элементов на одежду обучающихся, технических средств обучения, наглядных учебных и методических материалов для организаций, осуществляющих обучение детей и работу по профилактике детского дорожно-транспортного травматизма</w:t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МКУ "Образование"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11,00</w:t>
            </w:r>
          </w:p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12,00</w:t>
            </w:r>
          </w:p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13,50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11,00</w:t>
            </w:r>
          </w:p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12,00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13,50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Сокращение количества ДТП с пострадавшими, воспитание культуры участников дорожного движения</w:t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Итого по мероприятию</w:t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2024-2026</w:t>
            </w:r>
          </w:p>
        </w:tc>
        <w:tc>
          <w:tcPr>
            <w:tcW w:w="1080" w:type="dxa"/>
            <w:tcBorders/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36,50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36,50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Повышение уровня безопасности школьных транспортных средств</w:t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Отдел по образованию, спорту и молодёжной политике администрации Старополтавского муниципального района, Образовательные учреждения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201,50</w:t>
            </w:r>
          </w:p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217,30</w:t>
            </w:r>
          </w:p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243,70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201,50</w:t>
            </w:r>
          </w:p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217,30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243,70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2.1.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ru-RU" w:eastAsia="ru-RU" w:bidi="ar-SA"/>
              </w:rPr>
              <w:t>Замена блока СКЗИ (НКМ), включая р</w:t>
            </w: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4"/>
                <w:szCs w:val="24"/>
                <w:lang w:val="ru-RU" w:eastAsia="ru-RU" w:bidi="ar-SA"/>
              </w:rPr>
              <w:t>аботы, связанные с заменой НКМ (демонтаж/монтаж, деактивация, активация, калибровка)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ru-RU" w:eastAsia="ru-RU" w:bidi="ar-SA"/>
              </w:rPr>
              <w:t>, метрологическую поверку тахографа</w:t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"Валуевская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"Иловатская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"Красноярская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"Новополтавская СШ им. А.Г. Кораблева"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"Старополтавская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"Гмелинская СШ им. В.П.Агаркова"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"Курнаевская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"Верхневодянская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"Кановская ОШ" – филиал МКОУ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ar-SA"/>
              </w:rPr>
              <w:t>"Старополтавская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30,00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"Калининская ОШ" - филиал МКОУ"Новополтавская СШ им. А.Г. Кораблева"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Итого по мероприятию</w:t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2024-2026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270,00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270,00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2.2.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Техническое обслуживание тахографов</w:t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"Валуевская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"Иловатская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"Красноярская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"Новополтавская СШ им. А.Г. Кораблева"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"Старополтавская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"Гмелинская СШ им. В.П. Агаркова"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"Курнаевская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"Верхневодянская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"Кановская ОШ" - филиал МКОУ "Старополтавская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"Калининская ОШ" - филиал МКОУ"Новополтавская СШ им. А.Г. Кораблева"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3,50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Итого по мероприятию</w:t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2024-2026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105,00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105,00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2.3.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Услуги спутникового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GPS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-ГЛОНАСС мониторинга мобильных объектов</w:t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"Валуевская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5.40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5.40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"Иловатская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5.40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5.40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"Красноярская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5.40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5.40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"Новополтавская СШ им. А.Г. Кораблева"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5.40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5.40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"Старополтавская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5.40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5.40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"Гмелинская СШ им. В.П.Агаркова"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5.40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5.40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"Курнаевская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5.40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5.40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"Верхневодянская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5.40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5.40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"Кановская ОШ" - филиал МКОУ "Старополтавская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5.40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5.40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"Калининская ОШ" - филиал МКОУ"Новополтавская СШ им. А.Г. Кораблева"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5.40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5.40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5,40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Итого по мероприятию</w:t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2024-2026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162,00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162,00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2.4.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Выпуск и отгрузка карты тахографа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"Верхневодянская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3,60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3,60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"Старополтавская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3,60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3,60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"Кановская ОШ" - филиал МКОУ "Старополтавская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3,60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3,60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"Иловатская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3,60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3,60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"Валуевская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3,60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3,60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"Гмелинская СШ им.В.П. Агаркова"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3,60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3,60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"Курнаевская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3,60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3,60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"Красноярская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3,60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3,60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"Новополтавская СШ им. А.Г. Кораблева"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3,60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3,60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"Калининская ОШ" - филиал МКОУ"Новополтавская СШ им. А.Г. Кораблева"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3,60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3,60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Итого по мероприятию</w:t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2024-2026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36,00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36,00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2.5.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Курсы повышения профессионального мастерства водителей (20-часовая программа) по безопасности дорожного движения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"Старополтавская СШ"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"Иловатская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"Валуевка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"Гмелинская СШ им. В.П. Агаркова"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"Кановская ОШ" - филиал МКОУ "Старополтавская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"Красноярская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"Новополтавская СШ им. А.Г. Кораблева"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"Верхневодянская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"Курнаевская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"Калининская ОШ" - филиал МКОУ"Новополтавская СШ им. А.Г. Кораблева"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0,35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Итого по мероприятию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2024-2026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10,50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10,50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2.6.</w:t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Ввод в эксплуатацию контрольных устройств</w:t>
            </w:r>
          </w:p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(тахографа)</w:t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"Калининская ОШ" - филиал МКОУ"Новополтавская СШ им. А.Г. Кораблева"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Снижение риска возникновения дорожно-транспортных происшествий</w:t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Итого по мероприятию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2024-2026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5,50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5,50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2.7.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Идентификация АНС в ГАИС "ЭРА-ГЛОНАСС" и обеспечение передачи в Ространснадзор информации, поступающей от АСН в ГАИС "ЭРА-ГЛОНАСС"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"Новополтавская СШ им. А.Г.Кораблева"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"Старополтавская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"Валуевская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"Иловатская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"Курнаевская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"Красноярская СШ"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"Гмелинская СШ им. В.П. Агаркова"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МКОУ "Верхневодянская СШ"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"Кановская ОШ" - филиал МКОУ "Старополтавская СШ"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"Калининская ОШ" - филиал МКОУ"Новополтавская СШ им. А.Г. Кораблева"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3,90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3,90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2,40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Итого по мероприятию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2024-2026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73,50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73,50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68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Итого по муниципальной программе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2024-2026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730,00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730,00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68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 том числе по годам:</w:t>
            </w:r>
          </w:p>
        </w:tc>
        <w:tc>
          <w:tcPr>
            <w:tcW w:w="84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2026</w:t>
            </w:r>
          </w:p>
        </w:tc>
        <w:tc>
          <w:tcPr>
            <w:tcW w:w="1080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221,50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239,80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268,70</w:t>
            </w:r>
          </w:p>
        </w:tc>
        <w:tc>
          <w:tcPr>
            <w:tcW w:w="1614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326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52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221,50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239,80</w:t>
            </w:r>
          </w:p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268,70</w:t>
            </w:r>
          </w:p>
        </w:tc>
        <w:tc>
          <w:tcPr>
            <w:tcW w:w="128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19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sectPr>
          <w:headerReference w:type="default" r:id="rId12"/>
          <w:headerReference w:type="first" r:id="rId13"/>
          <w:footerReference w:type="default" r:id="rId14"/>
          <w:footerReference w:type="first" r:id="rId15"/>
          <w:type w:val="nextPage"/>
          <w:pgSz w:orient="landscape" w:w="16838" w:h="11906"/>
          <w:pgMar w:left="1134" w:right="1134" w:gutter="0" w:header="709" w:top="1417" w:footer="0" w:bottom="850"/>
          <w:pgNumType w:start="1" w:fmt="decimal"/>
          <w:formProt w:val="false"/>
          <w:titlePg/>
          <w:textDirection w:val="lrTb"/>
          <w:docGrid w:type="default" w:linePitch="326" w:charSpace="8192"/>
        </w:sect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1020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3</w:t>
      </w:r>
    </w:p>
    <w:p>
      <w:pPr>
        <w:pStyle w:val="Normal"/>
        <w:ind w:left="1020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1020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1020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муниципальной программе "Повышение безопасности дорожного движения в Старополтавском муниципальном районе Волгоградской области" на 2024-2026 годы"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РЕСУРСНОЕ ОБЕСПЕЧЕНИЕ </w:t>
        <w:br/>
        <w:t>муниципальной программы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районного бюджета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147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7"/>
        <w:gridCol w:w="1276"/>
        <w:gridCol w:w="1501"/>
        <w:gridCol w:w="1500"/>
        <w:gridCol w:w="1582"/>
        <w:gridCol w:w="1548"/>
        <w:gridCol w:w="1546"/>
        <w:gridCol w:w="1551"/>
        <w:gridCol w:w="1761"/>
      </w:tblGrid>
      <w:tr>
        <w:trPr/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9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>
        <w:trPr/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>
        <w:trPr/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"Повышение безопасности дорожного движения в Старополтавском муниципальном районе Волгоградской области" на 2024-2026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"Образование"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22,50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22,50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67,50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МКОУ Иловатская СШ"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68,55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68,55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МКОУ "Валуевская СШ"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45,25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45,25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68,55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68,55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МКОУ "Гмелинская СШ им. В.П.Агаркова"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68,55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68,55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МКОУ "Новополтавская СШ им. А.Г. Кораблева"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68,55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68,55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"Кановская ОШ" - филиал МКОУ "Старополтавская СШ"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45,25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45,25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68,55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68,55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МКОУ "Старополтавская СШ"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68,55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68,55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МКОУ "Верхневодянская СШ"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68,55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68,55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МКОУ "Красноярская СШ"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68,55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68,55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МКОУ "Курнаевская СШ"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45,25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45,25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68,55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68,55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"Калининская ОШ" - филиал МКОУ"Новополтавская СШ им. А.Г. Кораблева"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45,55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45,55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221,50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221,50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239,80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239,80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268,70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268,70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color w:val="000000"/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16"/>
      <w:headerReference w:type="first" r:id="rId17"/>
      <w:footerReference w:type="default" r:id="rId18"/>
      <w:footerReference w:type="first" r:id="rId19"/>
      <w:type w:val="nextPage"/>
      <w:pgSz w:orient="landscape" w:w="16838" w:h="11906"/>
      <w:pgMar w:left="1134" w:right="1134" w:gutter="0" w:header="709" w:top="1417" w:footer="0" w:bottom="850"/>
      <w:pgNumType w:start="1" w:fmt="decimal"/>
      <w:formProt w:val="false"/>
      <w:titlePg/>
      <w:textDirection w:val="lrTb"/>
      <w:docGrid w:type="default" w:linePitch="326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eastAsia="Calibri"/>
        <w:lang w:eastAsia="en-US"/>
      </w:rPr>
    </w:pPr>
    <w:r>
      <w:rPr/>
      <w:drawing>
        <wp:inline distT="0" distB="0" distL="0" distR="0">
          <wp:extent cx="314325" cy="361950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eastAsia="Calibri"/>
        <w:sz w:val="12"/>
        <w:szCs w:val="12"/>
        <w:lang w:eastAsia="en-US"/>
      </w:rPr>
    </w:pPr>
    <w:r>
      <w:rPr>
        <w:rFonts w:eastAsia="Calibri"/>
        <w:sz w:val="12"/>
        <w:szCs w:val="12"/>
        <w:lang w:eastAsia="en-US"/>
      </w:rPr>
    </w:r>
  </w:p>
  <w:p>
    <w:pPr>
      <w:pStyle w:val="Normal"/>
      <w:jc w:val="center"/>
      <w:rPr>
        <w:rFonts w:eastAsia="Calibri"/>
        <w:sz w:val="32"/>
        <w:szCs w:val="32"/>
        <w:lang w:eastAsia="en-US"/>
      </w:rPr>
    </w:pPr>
    <w:r>
      <w:rPr>
        <w:rFonts w:eastAsia="Calibri"/>
        <w:sz w:val="32"/>
        <w:szCs w:val="32"/>
        <w:lang w:eastAsia="en-US"/>
      </w:rPr>
      <w:t>АДМИНИСТРАЦИЯ СТАРОПОЛТАВСКОГО МУНИЦИПАЛЬНОГО РАЙОНА ВОЛГОГРАДСКОЙ ОБЛАСТИ</w:t>
    </w:r>
  </w:p>
  <w:p>
    <w:pPr>
      <w:pStyle w:val="Normal"/>
      <w:pBdr>
        <w:bottom w:val="thinThickSmallGap" w:sz="12" w:space="1" w:color="000000"/>
      </w:pBdr>
      <w:jc w:val="center"/>
      <w:rPr>
        <w:rFonts w:eastAsia="Calibri"/>
        <w:sz w:val="12"/>
        <w:szCs w:val="12"/>
        <w:lang w:eastAsia="en-US"/>
      </w:rPr>
    </w:pPr>
    <w:r>
      <w:rPr>
        <w:rFonts w:eastAsia="Calibri"/>
        <w:sz w:val="12"/>
        <w:szCs w:val="12"/>
        <w:lang w:eastAsia="en-US"/>
      </w:rPr>
    </w:r>
  </w:p>
  <w:p>
    <w:pPr>
      <w:pStyle w:val="Normal"/>
      <w:spacing w:before="240" w:after="240"/>
      <w:jc w:val="center"/>
      <w:rPr>
        <w:rFonts w:eastAsia="Calibri"/>
        <w:sz w:val="48"/>
        <w:szCs w:val="48"/>
        <w:lang w:eastAsia="en-US"/>
      </w:rPr>
    </w:pPr>
    <w:r>
      <w:rPr>
        <w:rFonts w:eastAsia="Calibri"/>
        <w:sz w:val="48"/>
        <w:szCs w:val="48"/>
        <w:lang w:eastAsia="en-US"/>
      </w:rPr>
      <w:t>ПОСТАНОВЛЕНИЕ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>
        <w:color w:val="000000"/>
        <w:sz w:val="24"/>
      </w:rPr>
    </w:pPr>
    <w:r>
      <w:rPr>
        <w:color w:val="000000"/>
        <w:sz w:val="24"/>
        <w:szCs w:val="24"/>
      </w:rPr>
      <w:fldChar w:fldCharType="begin"/>
    </w:r>
    <w:r>
      <w:rPr>
        <w:sz w:val="24"/>
        <w:szCs w:val="24"/>
        <w:color w:val="000000"/>
      </w:rPr>
      <w:instrText xml:space="preserve"> PAGE </w:instrText>
    </w:r>
    <w:r>
      <w:rPr>
        <w:sz w:val="24"/>
        <w:szCs w:val="24"/>
        <w:color w:val="000000"/>
      </w:rPr>
      <w:fldChar w:fldCharType="separate"/>
    </w:r>
    <w:r>
      <w:rPr>
        <w:sz w:val="24"/>
        <w:szCs w:val="24"/>
        <w:color w:val="000000"/>
      </w:rPr>
      <w:t>6</w:t>
    </w:r>
    <w:r>
      <w:rPr>
        <w:sz w:val="24"/>
        <w:szCs w:val="24"/>
        <w:color w:val="000000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>
        <w:color w:val="000000"/>
        <w:sz w:val="24"/>
      </w:rPr>
    </w:pPr>
    <w:r>
      <w:rPr>
        <w:color w:val="000000"/>
        <w:sz w:val="24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>
        <w:color w:val="000000"/>
        <w:sz w:val="24"/>
      </w:rPr>
    </w:pPr>
    <w:r>
      <w:rPr>
        <w:color w:val="000000"/>
        <w:sz w:val="24"/>
        <w:szCs w:val="24"/>
      </w:rPr>
      <w:fldChar w:fldCharType="begin"/>
    </w:r>
    <w:r>
      <w:rPr>
        <w:sz w:val="24"/>
        <w:szCs w:val="24"/>
        <w:color w:val="000000"/>
      </w:rPr>
      <w:instrText xml:space="preserve"> PAGE </w:instrText>
    </w:r>
    <w:r>
      <w:rPr>
        <w:sz w:val="24"/>
        <w:szCs w:val="24"/>
        <w:color w:val="000000"/>
      </w:rPr>
      <w:fldChar w:fldCharType="separate"/>
    </w:r>
    <w:r>
      <w:rPr>
        <w:sz w:val="24"/>
        <w:szCs w:val="24"/>
        <w:color w:val="000000"/>
      </w:rPr>
      <w:t>2</w:t>
    </w:r>
    <w:r>
      <w:rPr>
        <w:sz w:val="24"/>
        <w:szCs w:val="24"/>
        <w:color w:val="000000"/>
      </w:rPr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>
        <w:color w:val="000000"/>
        <w:sz w:val="24"/>
      </w:rPr>
    </w:pPr>
    <w:r>
      <w:rPr>
        <w:color w:val="000000"/>
        <w:sz w:val="24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>
        <w:color w:val="000000"/>
        <w:sz w:val="24"/>
      </w:rPr>
    </w:pPr>
    <w:r>
      <w:rPr>
        <w:color w:val="000000"/>
        <w:sz w:val="24"/>
        <w:szCs w:val="24"/>
      </w:rPr>
      <w:fldChar w:fldCharType="begin"/>
    </w:r>
    <w:r>
      <w:rPr>
        <w:sz w:val="24"/>
        <w:szCs w:val="24"/>
        <w:color w:val="000000"/>
      </w:rPr>
      <w:instrText xml:space="preserve"> PAGE </w:instrText>
    </w:r>
    <w:r>
      <w:rPr>
        <w:sz w:val="24"/>
        <w:szCs w:val="24"/>
        <w:color w:val="000000"/>
      </w:rPr>
      <w:fldChar w:fldCharType="separate"/>
    </w:r>
    <w:r>
      <w:rPr>
        <w:sz w:val="24"/>
        <w:szCs w:val="24"/>
        <w:color w:val="000000"/>
      </w:rPr>
      <w:t>11</w:t>
    </w:r>
    <w:r>
      <w:rPr>
        <w:sz w:val="24"/>
        <w:szCs w:val="24"/>
        <w:color w:val="000000"/>
      </w:rPr>
      <w:fldChar w:fldCharType="end"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>
        <w:color w:val="000000"/>
        <w:sz w:val="24"/>
      </w:rPr>
    </w:pPr>
    <w:r>
      <w:rPr>
        <w:color w:val="000000"/>
        <w:sz w:val="24"/>
      </w:rPr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>
        <w:color w:val="000000"/>
        <w:sz w:val="24"/>
      </w:rPr>
    </w:pPr>
    <w:r>
      <w:rPr>
        <w:color w:val="000000"/>
        <w:sz w:val="24"/>
        <w:szCs w:val="24"/>
      </w:rPr>
      <w:fldChar w:fldCharType="begin"/>
    </w:r>
    <w:r>
      <w:rPr>
        <w:sz w:val="24"/>
        <w:szCs w:val="24"/>
        <w:color w:val="000000"/>
      </w:rPr>
      <w:instrText xml:space="preserve"> PAGE </w:instrText>
    </w:r>
    <w:r>
      <w:rPr>
        <w:sz w:val="24"/>
        <w:szCs w:val="24"/>
        <w:color w:val="000000"/>
      </w:rPr>
      <w:fldChar w:fldCharType="separate"/>
    </w:r>
    <w:r>
      <w:rPr>
        <w:sz w:val="24"/>
        <w:szCs w:val="24"/>
        <w:color w:val="000000"/>
      </w:rPr>
      <w:t>3</w:t>
    </w:r>
    <w:r>
      <w:rPr>
        <w:sz w:val="24"/>
        <w:szCs w:val="24"/>
        <w:color w:val="000000"/>
      </w:rPr>
      <w:fldChar w:fldCharType="end"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>
        <w:color w:val="000000"/>
        <w:sz w:val="24"/>
      </w:rPr>
    </w:pPr>
    <w:r>
      <w:rPr>
        <w:color w:val="000000"/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524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1d5247"/>
    <w:pPr>
      <w:keepNext w:val="true"/>
      <w:jc w:val="both"/>
      <w:outlineLvl w:val="0"/>
    </w:pPr>
    <w:rPr>
      <w:sz w:val="28"/>
    </w:rPr>
  </w:style>
  <w:style w:type="paragraph" w:styleId="2">
    <w:name w:val="Heading 2"/>
    <w:basedOn w:val="Normal"/>
    <w:next w:val="Normal"/>
    <w:link w:val="21"/>
    <w:qFormat/>
    <w:rsid w:val="001d5247"/>
    <w:pPr>
      <w:keepNext w:val="true"/>
      <w:jc w:val="both"/>
      <w:outlineLvl w:val="1"/>
    </w:pPr>
    <w:rPr>
      <w:b/>
      <w:sz w:val="28"/>
    </w:rPr>
  </w:style>
  <w:style w:type="paragraph" w:styleId="3">
    <w:name w:val="Heading 3"/>
    <w:basedOn w:val="Normal"/>
    <w:next w:val="Normal"/>
    <w:link w:val="32"/>
    <w:qFormat/>
    <w:rsid w:val="001d5247"/>
    <w:pPr>
      <w:keepNext w:val="true"/>
      <w:outlineLvl w:val="2"/>
    </w:pPr>
    <w:rPr>
      <w:sz w:val="28"/>
    </w:rPr>
  </w:style>
  <w:style w:type="paragraph" w:styleId="4">
    <w:name w:val="Heading 4"/>
    <w:basedOn w:val="Normal"/>
    <w:next w:val="Normal"/>
    <w:link w:val="41"/>
    <w:qFormat/>
    <w:rsid w:val="001d5247"/>
    <w:pPr>
      <w:keepNext w:val="true"/>
      <w:jc w:val="right"/>
      <w:outlineLvl w:val="3"/>
    </w:pPr>
    <w:rPr>
      <w:sz w:val="28"/>
    </w:rPr>
  </w:style>
  <w:style w:type="paragraph" w:styleId="5">
    <w:name w:val="Heading 5"/>
    <w:basedOn w:val="Normal"/>
    <w:next w:val="Normal"/>
    <w:link w:val="51"/>
    <w:qFormat/>
    <w:rsid w:val="001d5247"/>
    <w:pPr>
      <w:keepNext w:val="true"/>
      <w:jc w:val="right"/>
      <w:outlineLvl w:val="4"/>
    </w:pPr>
    <w:rPr>
      <w:b/>
      <w:sz w:val="28"/>
    </w:rPr>
  </w:style>
  <w:style w:type="paragraph" w:styleId="6">
    <w:name w:val="Heading 6"/>
    <w:basedOn w:val="Normal"/>
    <w:next w:val="Normal"/>
    <w:link w:val="61"/>
    <w:qFormat/>
    <w:rsid w:val="001d5247"/>
    <w:pPr>
      <w:keepNext w:val="true"/>
      <w:outlineLvl w:val="5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Цветовое выделение"/>
    <w:uiPriority w:val="99"/>
    <w:qFormat/>
    <w:rsid w:val="00142763"/>
    <w:rPr>
      <w:b/>
      <w:color w:val="000080"/>
    </w:rPr>
  </w:style>
  <w:style w:type="character" w:styleId="Style9" w:customStyle="1">
    <w:name w:val="Гипертекстовая ссылка"/>
    <w:uiPriority w:val="99"/>
    <w:qFormat/>
    <w:rsid w:val="008a7c94"/>
    <w:rPr>
      <w:color w:val="008000"/>
    </w:rPr>
  </w:style>
  <w:style w:type="character" w:styleId="Style10" w:customStyle="1">
    <w:name w:val="Текст выноски Знак"/>
    <w:link w:val="BalloonText"/>
    <w:uiPriority w:val="99"/>
    <w:semiHidden/>
    <w:qFormat/>
    <w:rsid w:val="003960cd"/>
    <w:rPr>
      <w:rFonts w:ascii="Tahoma" w:hAnsi="Tahoma" w:cs="Tahoma"/>
      <w:sz w:val="16"/>
      <w:szCs w:val="16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9405e8"/>
    <w:rPr/>
  </w:style>
  <w:style w:type="character" w:styleId="Style12" w:customStyle="1">
    <w:name w:val="Нижний колонтитул Знак"/>
    <w:basedOn w:val="DefaultParagraphFont"/>
    <w:uiPriority w:val="99"/>
    <w:qFormat/>
    <w:rsid w:val="009405e8"/>
    <w:rPr/>
  </w:style>
  <w:style w:type="character" w:styleId="31" w:customStyle="1">
    <w:name w:val="Основной текст 3 Знак"/>
    <w:link w:val="BodyText3"/>
    <w:uiPriority w:val="99"/>
    <w:semiHidden/>
    <w:qFormat/>
    <w:rsid w:val="00345e17"/>
    <w:rPr>
      <w:sz w:val="16"/>
      <w:szCs w:val="16"/>
    </w:rPr>
  </w:style>
  <w:style w:type="character" w:styleId="-">
    <w:name w:val="Hyperlink"/>
    <w:basedOn w:val="DefaultParagraphFont"/>
    <w:uiPriority w:val="99"/>
    <w:unhideWhenUsed/>
    <w:rsid w:val="00190d59"/>
    <w:rPr>
      <w:color w:val="0000FF"/>
      <w:u w:val="single"/>
    </w:rPr>
  </w:style>
  <w:style w:type="character" w:styleId="11" w:customStyle="1">
    <w:name w:val="Заголовок 1 Знак"/>
    <w:basedOn w:val="DefaultParagraphFont"/>
    <w:qFormat/>
    <w:rsid w:val="00e04525"/>
    <w:rPr>
      <w:sz w:val="28"/>
    </w:rPr>
  </w:style>
  <w:style w:type="character" w:styleId="21" w:customStyle="1">
    <w:name w:val="Заголовок 2 Знак"/>
    <w:basedOn w:val="DefaultParagraphFont"/>
    <w:qFormat/>
    <w:rsid w:val="00e04525"/>
    <w:rPr>
      <w:b/>
      <w:sz w:val="28"/>
    </w:rPr>
  </w:style>
  <w:style w:type="character" w:styleId="32" w:customStyle="1">
    <w:name w:val="Заголовок 3 Знак"/>
    <w:basedOn w:val="DefaultParagraphFont"/>
    <w:qFormat/>
    <w:rsid w:val="00e04525"/>
    <w:rPr>
      <w:sz w:val="28"/>
    </w:rPr>
  </w:style>
  <w:style w:type="character" w:styleId="41" w:customStyle="1">
    <w:name w:val="Заголовок 4 Знак"/>
    <w:basedOn w:val="DefaultParagraphFont"/>
    <w:qFormat/>
    <w:rsid w:val="00e04525"/>
    <w:rPr>
      <w:sz w:val="28"/>
    </w:rPr>
  </w:style>
  <w:style w:type="character" w:styleId="51" w:customStyle="1">
    <w:name w:val="Заголовок 5 Знак"/>
    <w:basedOn w:val="DefaultParagraphFont"/>
    <w:qFormat/>
    <w:rsid w:val="00e04525"/>
    <w:rPr>
      <w:b/>
      <w:sz w:val="28"/>
    </w:rPr>
  </w:style>
  <w:style w:type="character" w:styleId="61" w:customStyle="1">
    <w:name w:val="Заголовок 6 Знак"/>
    <w:basedOn w:val="DefaultParagraphFont"/>
    <w:qFormat/>
    <w:rsid w:val="00e04525"/>
    <w:rPr>
      <w:b/>
      <w:sz w:val="28"/>
    </w:rPr>
  </w:style>
  <w:style w:type="character" w:styleId="Style13" w:customStyle="1">
    <w:name w:val="Основной текст Знак"/>
    <w:basedOn w:val="DefaultParagraphFont"/>
    <w:semiHidden/>
    <w:qFormat/>
    <w:rsid w:val="00e04525"/>
    <w:rPr>
      <w:b/>
      <w:sz w:val="28"/>
    </w:rPr>
  </w:style>
  <w:style w:type="character" w:styleId="22" w:customStyle="1">
    <w:name w:val="Основной текст 2 Знак"/>
    <w:basedOn w:val="DefaultParagraphFont"/>
    <w:link w:val="BodyText2"/>
    <w:semiHidden/>
    <w:qFormat/>
    <w:rsid w:val="00e04525"/>
    <w:rPr>
      <w:sz w:val="28"/>
    </w:rPr>
  </w:style>
  <w:style w:type="character" w:styleId="Pagenumber">
    <w:name w:val="page number"/>
    <w:basedOn w:val="DefaultParagraphFont"/>
    <w:uiPriority w:val="99"/>
    <w:semiHidden/>
    <w:unhideWhenUsed/>
    <w:qFormat/>
    <w:rsid w:val="00497e2d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Style13"/>
    <w:semiHidden/>
    <w:rsid w:val="001d5247"/>
    <w:pPr>
      <w:jc w:val="both"/>
    </w:pPr>
    <w:rPr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1d5247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1d5247"/>
    <w:pPr>
      <w:widowControl w:val="false"/>
      <w:bidi w:val="0"/>
      <w:spacing w:before="0" w:after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1d5247"/>
    <w:pPr>
      <w:widowControl w:val="fals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2"/>
    <w:semiHidden/>
    <w:qFormat/>
    <w:rsid w:val="001d5247"/>
    <w:pPr>
      <w:jc w:val="both"/>
    </w:pPr>
    <w:rPr>
      <w:sz w:val="28"/>
    </w:rPr>
  </w:style>
  <w:style w:type="paragraph" w:styleId="Style19" w:customStyle="1">
    <w:name w:val="Нормальный (таблица)"/>
    <w:basedOn w:val="Normal"/>
    <w:next w:val="Normal"/>
    <w:uiPriority w:val="99"/>
    <w:qFormat/>
    <w:rsid w:val="009c3608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ConsPlusCell" w:customStyle="1">
    <w:name w:val="ConsPlusCell"/>
    <w:uiPriority w:val="99"/>
    <w:qFormat/>
    <w:rsid w:val="009c3608"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Style10"/>
    <w:uiPriority w:val="99"/>
    <w:semiHidden/>
    <w:unhideWhenUsed/>
    <w:qFormat/>
    <w:rsid w:val="003960cd"/>
    <w:pPr/>
    <w:rPr>
      <w:rFonts w:ascii="Tahoma" w:hAnsi="Tahoma"/>
      <w:sz w:val="16"/>
      <w:szCs w:val="16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1"/>
    <w:uiPriority w:val="99"/>
    <w:unhideWhenUsed/>
    <w:rsid w:val="009405e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Style12"/>
    <w:uiPriority w:val="99"/>
    <w:unhideWhenUsed/>
    <w:rsid w:val="009405e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e048a3"/>
    <w:pPr>
      <w:spacing w:beforeAutospacing="1" w:afterAutospacing="1"/>
    </w:pPr>
    <w:rPr>
      <w:sz w:val="24"/>
      <w:szCs w:val="24"/>
    </w:rPr>
  </w:style>
  <w:style w:type="paragraph" w:styleId="Consplusnormal1" w:customStyle="1">
    <w:name w:val="consplusnormal"/>
    <w:basedOn w:val="Normal"/>
    <w:qFormat/>
    <w:rsid w:val="00e048a3"/>
    <w:pPr>
      <w:spacing w:beforeAutospacing="1" w:afterAutospacing="1"/>
    </w:pPr>
    <w:rPr>
      <w:sz w:val="24"/>
      <w:szCs w:val="24"/>
    </w:rPr>
  </w:style>
  <w:style w:type="paragraph" w:styleId="BodyText3">
    <w:name w:val="Body Text 3"/>
    <w:basedOn w:val="Normal"/>
    <w:link w:val="31"/>
    <w:uiPriority w:val="99"/>
    <w:semiHidden/>
    <w:unhideWhenUsed/>
    <w:qFormat/>
    <w:rsid w:val="00345e17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04525"/>
    <w:pPr>
      <w:spacing w:before="0" w:after="0"/>
      <w:ind w:left="720" w:hanging="0"/>
      <w:contextualSpacing/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6542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0E90-2D34-4E8E-81D6-CF589A70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LibreOffice/7.5.3.2$Windows_X86_64 LibreOffice_project/9f56dff12ba03b9acd7730a5a481eea045e468f3</Application>
  <AppVersion>15.0000</AppVersion>
  <Pages>23</Pages>
  <Words>4701</Words>
  <Characters>26796</Characters>
  <CharactersWithSpaces>31435</CharactersWithSpaces>
  <Paragraphs>62</Paragraphs>
  <Company>4321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2023-10-30T07:44:00Z</dcterms:created>
  <dc:creator>Козенко</dc:creator>
  <dc:description/>
  <dc:language>ru-RU</dc:language>
  <cp:lastModifiedBy>Асташов Алексей Иванович</cp:lastModifiedBy>
  <cp:lastPrinted>2023-10-10T11:46:00Z</cp:lastPrinted>
  <dcterms:modified xsi:type="dcterms:W3CDTF">2023-10-30T08:47:00Z</dcterms:modified>
  <cp:revision>3</cp:revision>
  <dc:subject/>
  <dc:title>ИЛОВЛИНСКАЯ РАЙОННАЯ ДУМА ВОЛГОГРАДСКОЙ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